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D54497" w:rsidRPr="00445E04" w:rsidRDefault="00324331" w:rsidP="00626A3A">
      <w:pPr>
        <w:spacing w:line="480" w:lineRule="auto"/>
        <w:jc w:val="center"/>
        <w:rPr>
          <w:rFonts w:ascii="Times New Roman" w:hAnsi="Times New Roman" w:cs="Times New Roman"/>
          <w:sz w:val="24"/>
          <w:szCs w:val="24"/>
        </w:rPr>
      </w:pPr>
      <w:r w:rsidRPr="00445E04">
        <w:rPr>
          <w:rFonts w:ascii="Times New Roman" w:hAnsi="Times New Roman" w:cs="Times New Roman"/>
          <w:sz w:val="24"/>
          <w:szCs w:val="24"/>
        </w:rPr>
        <w:t>Financial Performance and Health for Google Inc.</w:t>
      </w:r>
    </w:p>
    <w:p w:rsidR="00626A3A" w:rsidRPr="00445E04" w:rsidRDefault="00626A3A" w:rsidP="00626A3A">
      <w:pPr>
        <w:spacing w:line="480" w:lineRule="auto"/>
        <w:jc w:val="center"/>
        <w:rPr>
          <w:rFonts w:ascii="Times New Roman" w:hAnsi="Times New Roman" w:cs="Times New Roman"/>
          <w:sz w:val="24"/>
          <w:szCs w:val="24"/>
        </w:rPr>
      </w:pPr>
      <w:r w:rsidRPr="00445E04">
        <w:rPr>
          <w:rFonts w:ascii="Times New Roman" w:hAnsi="Times New Roman" w:cs="Times New Roman"/>
          <w:sz w:val="24"/>
          <w:szCs w:val="24"/>
        </w:rPr>
        <w:t>Name</w:t>
      </w:r>
    </w:p>
    <w:p w:rsidR="00626A3A" w:rsidRPr="00445E04" w:rsidRDefault="00626A3A" w:rsidP="00626A3A">
      <w:pPr>
        <w:spacing w:line="480" w:lineRule="auto"/>
        <w:jc w:val="center"/>
        <w:rPr>
          <w:rFonts w:ascii="Times New Roman" w:hAnsi="Times New Roman" w:cs="Times New Roman"/>
          <w:sz w:val="24"/>
          <w:szCs w:val="24"/>
        </w:rPr>
      </w:pPr>
      <w:r w:rsidRPr="00445E04">
        <w:rPr>
          <w:rFonts w:ascii="Times New Roman" w:hAnsi="Times New Roman" w:cs="Times New Roman"/>
          <w:sz w:val="24"/>
          <w:szCs w:val="24"/>
        </w:rPr>
        <w:t>Institution</w:t>
      </w:r>
    </w:p>
    <w:p w:rsidR="00626A3A" w:rsidRPr="00445E04" w:rsidRDefault="00626A3A" w:rsidP="00626A3A">
      <w:pPr>
        <w:spacing w:line="480" w:lineRule="auto"/>
        <w:jc w:val="center"/>
        <w:rPr>
          <w:rFonts w:ascii="Times New Roman" w:hAnsi="Times New Roman" w:cs="Times New Roman"/>
          <w:sz w:val="24"/>
          <w:szCs w:val="24"/>
        </w:rPr>
      </w:pPr>
      <w:r w:rsidRPr="00445E04">
        <w:rPr>
          <w:rFonts w:ascii="Times New Roman" w:hAnsi="Times New Roman" w:cs="Times New Roman"/>
          <w:sz w:val="24"/>
          <w:szCs w:val="24"/>
        </w:rPr>
        <w:t>Date</w:t>
      </w: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p>
    <w:p w:rsidR="00626A3A" w:rsidRPr="00445E04" w:rsidRDefault="00626A3A" w:rsidP="00626A3A">
      <w:pPr>
        <w:spacing w:line="480" w:lineRule="auto"/>
        <w:jc w:val="center"/>
        <w:rPr>
          <w:rFonts w:ascii="Times New Roman" w:hAnsi="Times New Roman" w:cs="Times New Roman"/>
          <w:sz w:val="24"/>
          <w:szCs w:val="24"/>
        </w:rPr>
      </w:pPr>
      <w:r w:rsidRPr="00445E04">
        <w:rPr>
          <w:rFonts w:ascii="Times New Roman" w:hAnsi="Times New Roman" w:cs="Times New Roman"/>
          <w:sz w:val="24"/>
          <w:szCs w:val="24"/>
        </w:rPr>
        <w:lastRenderedPageBreak/>
        <w:t>Financial Performance and Health for Google Inc.</w:t>
      </w:r>
    </w:p>
    <w:p w:rsidR="00324331" w:rsidRPr="00445E04" w:rsidRDefault="00324331" w:rsidP="00626A3A">
      <w:pPr>
        <w:spacing w:line="480" w:lineRule="auto"/>
        <w:jc w:val="center"/>
        <w:rPr>
          <w:rFonts w:ascii="Times New Roman" w:hAnsi="Times New Roman" w:cs="Times New Roman"/>
          <w:sz w:val="24"/>
          <w:szCs w:val="24"/>
        </w:rPr>
      </w:pPr>
      <w:r w:rsidRPr="00445E04">
        <w:rPr>
          <w:rFonts w:ascii="Times New Roman" w:hAnsi="Times New Roman" w:cs="Times New Roman"/>
          <w:sz w:val="24"/>
          <w:szCs w:val="24"/>
        </w:rPr>
        <w:t>Executive summary</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Google Inc. is one among the</w:t>
      </w:r>
      <w:r w:rsidR="00445E04" w:rsidRPr="00445E04">
        <w:rPr>
          <w:rFonts w:ascii="Times New Roman" w:hAnsi="Times New Roman" w:cs="Times New Roman"/>
          <w:sz w:val="24"/>
          <w:szCs w:val="24"/>
        </w:rPr>
        <w:t xml:space="preserve"> best global companies as</w:t>
      </w:r>
      <w:r w:rsidRPr="00445E04">
        <w:rPr>
          <w:rFonts w:ascii="Times New Roman" w:hAnsi="Times New Roman" w:cs="Times New Roman"/>
          <w:sz w:val="24"/>
          <w:szCs w:val="24"/>
        </w:rPr>
        <w:t xml:space="preserve"> ranked by its customers. The company’s future remains limitless since it depicts a serious in addition to an aggressive review of the evident organizational culture which is accurately conducted, and recommendations are well followed. As outlined in the Google Human Resource Department, Google has a wide array of the royal workforce. Also, the management has made a lot of efforts </w:t>
      </w:r>
      <w:r w:rsidR="00445E04" w:rsidRPr="00445E04">
        <w:rPr>
          <w:rFonts w:ascii="Times New Roman" w:hAnsi="Times New Roman" w:cs="Times New Roman"/>
          <w:sz w:val="24"/>
          <w:szCs w:val="24"/>
        </w:rPr>
        <w:t xml:space="preserve">to nurture an </w:t>
      </w:r>
      <w:r w:rsidRPr="00445E04">
        <w:rPr>
          <w:rFonts w:ascii="Times New Roman" w:hAnsi="Times New Roman" w:cs="Times New Roman"/>
          <w:sz w:val="24"/>
          <w:szCs w:val="24"/>
        </w:rPr>
        <w:t>entertaining organizational culture as a core step to the organization success (Google Incorporation, 2017). The management has a strong internal organization assessment where researchers are required to examine the core opinions of both past and present employees via testimonies. The approach in which the employee serves in Google illustrates that innovation is highly emp</w:t>
      </w:r>
      <w:r w:rsidR="006D7825" w:rsidRPr="00445E04">
        <w:rPr>
          <w:rFonts w:ascii="Times New Roman" w:hAnsi="Times New Roman" w:cs="Times New Roman"/>
          <w:sz w:val="24"/>
          <w:szCs w:val="24"/>
        </w:rPr>
        <w:t xml:space="preserve">hasized in the entire company. </w:t>
      </w:r>
      <w:r w:rsidRPr="00445E04">
        <w:rPr>
          <w:rFonts w:ascii="Times New Roman" w:hAnsi="Times New Roman" w:cs="Times New Roman"/>
          <w:sz w:val="24"/>
          <w:szCs w:val="24"/>
        </w:rPr>
        <w:t xml:space="preserve">Employees are also motivated to reject the negative attribute of the culture, and hence, they work to produce a unique culture in each of their core investments in the world. </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It is also noteworthy that the company embraces ethical practices, the importance of performance appraisals and advancement in the estimated organizational core values base</w:t>
      </w:r>
      <w:r w:rsidR="00445E04" w:rsidRPr="00445E04">
        <w:rPr>
          <w:rFonts w:ascii="Times New Roman" w:hAnsi="Times New Roman" w:cs="Times New Roman"/>
          <w:sz w:val="24"/>
          <w:szCs w:val="24"/>
        </w:rPr>
        <w:t>d</w:t>
      </w:r>
      <w:r w:rsidRPr="00445E04">
        <w:rPr>
          <w:rFonts w:ascii="Times New Roman" w:hAnsi="Times New Roman" w:cs="Times New Roman"/>
          <w:sz w:val="24"/>
          <w:szCs w:val="24"/>
        </w:rPr>
        <w:t xml:space="preserve"> on culture.  The organization</w:t>
      </w:r>
      <w:r w:rsidR="00445E04" w:rsidRPr="00445E04">
        <w:rPr>
          <w:rFonts w:ascii="Times New Roman" w:hAnsi="Times New Roman" w:cs="Times New Roman"/>
          <w:sz w:val="24"/>
          <w:szCs w:val="24"/>
        </w:rPr>
        <w:t>’s</w:t>
      </w:r>
      <w:r w:rsidRPr="00445E04">
        <w:rPr>
          <w:rFonts w:ascii="Times New Roman" w:hAnsi="Times New Roman" w:cs="Times New Roman"/>
          <w:sz w:val="24"/>
          <w:szCs w:val="24"/>
        </w:rPr>
        <w:t xml:space="preserve"> stories are quite reflective of the entire cooperate culture.  Also, company history is highly charitable, and this signifies that all aspects of the organization are socially expansible (Germe et al., 2019). The company has also promised to offer adequate financial support for the invention of technological products. The company strives back to its core users by conducting a charity venture, which again boosts Google’s organizational culture. Like it is the case with any other operation organization, Google’s management team has been determined to maintain and possibly grow its financial position by making mega investments (Google Incorporation, 2017).  According to the company</w:t>
      </w:r>
      <w:r w:rsidR="00445E04" w:rsidRPr="00445E04">
        <w:rPr>
          <w:rFonts w:ascii="Times New Roman" w:hAnsi="Times New Roman" w:cs="Times New Roman"/>
          <w:sz w:val="24"/>
          <w:szCs w:val="24"/>
        </w:rPr>
        <w:t>’s</w:t>
      </w:r>
      <w:r w:rsidRPr="00445E04">
        <w:rPr>
          <w:rFonts w:ascii="Times New Roman" w:hAnsi="Times New Roman" w:cs="Times New Roman"/>
          <w:sz w:val="24"/>
          <w:szCs w:val="24"/>
        </w:rPr>
        <w:t xml:space="preserve"> financial report, Google has been in </w:t>
      </w:r>
      <w:r w:rsidRPr="00445E04">
        <w:rPr>
          <w:rFonts w:ascii="Times New Roman" w:hAnsi="Times New Roman" w:cs="Times New Roman"/>
          <w:sz w:val="24"/>
          <w:szCs w:val="24"/>
        </w:rPr>
        <w:lastRenderedPageBreak/>
        <w:t xml:space="preserve">the forefront to its competitors by wining up to 23% year over year revenue growth to 136. 8 billion in addition to 22% for the fourth quarter to $39.3 billion (Spuchlakova, Zvarikova, &amp; Kliestik, 2017). The Chief Financial Officer of Google has endorsed that “with great and valuable opportunities ahead, the company stands a chance to remain focused on its investments in talent in addition to infrastructure required to  invent unique and exceptional product, as well as recording improved encounters to customers,  advertisers, and partners  from a global perspective” (Google Incorporation, 2017). Besides, Google Inc. needs to come up with forward-looking statements which entail risks and uncertainties (Germe et al., 2019). A lot of attention needs to be </w:t>
      </w:r>
      <w:r w:rsidR="006D7825" w:rsidRPr="00445E04">
        <w:rPr>
          <w:rFonts w:ascii="Times New Roman" w:hAnsi="Times New Roman" w:cs="Times New Roman"/>
          <w:sz w:val="24"/>
          <w:szCs w:val="24"/>
        </w:rPr>
        <w:t>deployed</w:t>
      </w:r>
      <w:r w:rsidRPr="00445E04">
        <w:rPr>
          <w:rFonts w:ascii="Times New Roman" w:hAnsi="Times New Roman" w:cs="Times New Roman"/>
          <w:sz w:val="24"/>
          <w:szCs w:val="24"/>
        </w:rPr>
        <w:t xml:space="preserve"> based on the organization’s revenue culture by making additional investments, hiring promising techniques, ensuring acute communication and transparency in its global sales departments. The company must work on its high turnover rate and all exposed weaknesses. The company must also stay focused on creating brand loyalty as a result of the affiliated positive corporate image. </w:t>
      </w:r>
    </w:p>
    <w:p w:rsidR="00626A3A" w:rsidRPr="00445E04" w:rsidRDefault="00626A3A" w:rsidP="006D7825">
      <w:pPr>
        <w:tabs>
          <w:tab w:val="left" w:pos="2670"/>
        </w:tabs>
        <w:spacing w:line="480" w:lineRule="auto"/>
        <w:jc w:val="center"/>
        <w:rPr>
          <w:rFonts w:ascii="Times New Roman" w:hAnsi="Times New Roman" w:cs="Times New Roman"/>
          <w:b/>
          <w:sz w:val="24"/>
          <w:szCs w:val="24"/>
        </w:rPr>
      </w:pPr>
      <w:r w:rsidRPr="00445E04">
        <w:rPr>
          <w:rFonts w:ascii="Times New Roman" w:hAnsi="Times New Roman" w:cs="Times New Roman"/>
          <w:b/>
          <w:sz w:val="24"/>
          <w:szCs w:val="24"/>
        </w:rPr>
        <w:t>Financial Performance and Health</w:t>
      </w:r>
    </w:p>
    <w:p w:rsidR="00626A3A" w:rsidRPr="00445E04" w:rsidRDefault="00626A3A" w:rsidP="006D0203">
      <w:pPr>
        <w:pStyle w:val="ListParagraph"/>
        <w:numPr>
          <w:ilvl w:val="0"/>
          <w:numId w:val="1"/>
        </w:numPr>
        <w:tabs>
          <w:tab w:val="left" w:pos="2670"/>
        </w:tabs>
        <w:spacing w:line="480" w:lineRule="auto"/>
        <w:jc w:val="center"/>
        <w:rPr>
          <w:rFonts w:ascii="Times New Roman" w:hAnsi="Times New Roman" w:cs="Times New Roman"/>
          <w:b/>
          <w:sz w:val="24"/>
          <w:szCs w:val="24"/>
        </w:rPr>
      </w:pPr>
      <w:r w:rsidRPr="00445E04">
        <w:rPr>
          <w:rFonts w:ascii="Times New Roman" w:hAnsi="Times New Roman" w:cs="Times New Roman"/>
          <w:b/>
          <w:sz w:val="24"/>
          <w:szCs w:val="24"/>
        </w:rPr>
        <w:t>Organizational Context</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Google Inc.</w:t>
      </w:r>
      <w:r w:rsidR="00445E04" w:rsidRPr="00445E04">
        <w:rPr>
          <w:rFonts w:ascii="Times New Roman" w:hAnsi="Times New Roman" w:cs="Times New Roman"/>
          <w:sz w:val="24"/>
          <w:szCs w:val="24"/>
        </w:rPr>
        <w:t>’s</w:t>
      </w:r>
      <w:r w:rsidRPr="00445E04">
        <w:rPr>
          <w:rFonts w:ascii="Times New Roman" w:hAnsi="Times New Roman" w:cs="Times New Roman"/>
          <w:sz w:val="24"/>
          <w:szCs w:val="24"/>
        </w:rPr>
        <w:t xml:space="preserve"> goods and service</w:t>
      </w:r>
      <w:r w:rsidR="00445E04" w:rsidRPr="00445E04">
        <w:rPr>
          <w:rFonts w:ascii="Times New Roman" w:hAnsi="Times New Roman" w:cs="Times New Roman"/>
          <w:sz w:val="24"/>
          <w:szCs w:val="24"/>
        </w:rPr>
        <w:t>s</w:t>
      </w:r>
      <w:r w:rsidRPr="00445E04">
        <w:rPr>
          <w:rFonts w:ascii="Times New Roman" w:hAnsi="Times New Roman" w:cs="Times New Roman"/>
          <w:sz w:val="24"/>
          <w:szCs w:val="24"/>
        </w:rPr>
        <w:t xml:space="preserve"> are purely oriented to meet its customer needs. Also, its operation is well defined by its mission statement that it “identify human problem than it can be solved within technology and then invent technologies that address these core issues” (Google Incorporation, 2017) The major Google products and services include Google search, a web search engine offers to millions of browsers and researchers in all regions of the world (Google Incorporation, 2017). Another product is Google images, which provides results based on the file name in addition to </w:t>
      </w:r>
      <w:r w:rsidR="00445E04" w:rsidRPr="00445E04">
        <w:rPr>
          <w:rFonts w:ascii="Times New Roman" w:hAnsi="Times New Roman" w:cs="Times New Roman"/>
          <w:sz w:val="24"/>
          <w:szCs w:val="24"/>
        </w:rPr>
        <w:t xml:space="preserve">a text adjacent to the image. </w:t>
      </w:r>
      <w:r w:rsidRPr="00445E04">
        <w:rPr>
          <w:rFonts w:ascii="Times New Roman" w:hAnsi="Times New Roman" w:cs="Times New Roman"/>
          <w:sz w:val="24"/>
          <w:szCs w:val="24"/>
        </w:rPr>
        <w:t xml:space="preserve">Google offers YouTube services to artists and other customers to share entertainment, precautionary, and educative video clips to its customers. </w:t>
      </w:r>
      <w:r w:rsidRPr="00445E04">
        <w:rPr>
          <w:rFonts w:ascii="Times New Roman" w:hAnsi="Times New Roman" w:cs="Times New Roman"/>
          <w:sz w:val="24"/>
          <w:szCs w:val="24"/>
        </w:rPr>
        <w:lastRenderedPageBreak/>
        <w:t>The company offers automated news compilation services in addition t</w:t>
      </w:r>
      <w:r w:rsidR="00445E04" w:rsidRPr="00445E04">
        <w:rPr>
          <w:rFonts w:ascii="Times New Roman" w:hAnsi="Times New Roman" w:cs="Times New Roman"/>
          <w:sz w:val="24"/>
          <w:szCs w:val="24"/>
        </w:rPr>
        <w:t>o search engines, which support</w:t>
      </w:r>
      <w:r w:rsidRPr="00445E04">
        <w:rPr>
          <w:rFonts w:ascii="Times New Roman" w:hAnsi="Times New Roman" w:cs="Times New Roman"/>
          <w:sz w:val="24"/>
          <w:szCs w:val="24"/>
        </w:rPr>
        <w:t xml:space="preserve"> more than 25 languages (Germe et al., 2019</w:t>
      </w:r>
      <w:r w:rsidR="00445E04" w:rsidRPr="00445E04">
        <w:rPr>
          <w:rFonts w:ascii="Times New Roman" w:hAnsi="Times New Roman" w:cs="Times New Roman"/>
          <w:sz w:val="24"/>
          <w:szCs w:val="24"/>
        </w:rPr>
        <w:t>)</w:t>
      </w:r>
      <w:r w:rsidRPr="00445E04">
        <w:rPr>
          <w:rFonts w:ascii="Times New Roman" w:hAnsi="Times New Roman" w:cs="Times New Roman"/>
          <w:sz w:val="24"/>
          <w:szCs w:val="24"/>
        </w:rPr>
        <w:t>. Google Finance is another product offered for businesses to access executive information, blog search, interactive charts, and make acute discussion groups for business propensity among other initiatives. Other goods include Google groups, Google maps, Google translate, and Google flights. The company offers a variety of advertising services such as Google ads and Google marketing platforms which fully support business-oriented services. Other technical goods and services from Google Company include calendar software, news aggregators, and cloud storage for businesses, cloud computing services for business and a suite of productivity applications which include word-processing, spreadsheet, and p</w:t>
      </w:r>
      <w:r w:rsidR="006D7825" w:rsidRPr="00445E04">
        <w:rPr>
          <w:rFonts w:ascii="Times New Roman" w:hAnsi="Times New Roman" w:cs="Times New Roman"/>
          <w:sz w:val="24"/>
          <w:szCs w:val="24"/>
        </w:rPr>
        <w:t>hoto-editing software services.</w:t>
      </w:r>
      <w:r w:rsidRPr="00445E04">
        <w:rPr>
          <w:rFonts w:ascii="Times New Roman" w:hAnsi="Times New Roman" w:cs="Times New Roman"/>
          <w:sz w:val="24"/>
          <w:szCs w:val="24"/>
        </w:rPr>
        <w:t xml:space="preserve"> Notably, Google Inc. offers a wide array of goods and services whose relevance in the contemporary world can never be </w:t>
      </w:r>
      <w:r w:rsidR="00445E04" w:rsidRPr="00445E04">
        <w:rPr>
          <w:rFonts w:ascii="Times New Roman" w:hAnsi="Times New Roman" w:cs="Times New Roman"/>
          <w:sz w:val="24"/>
          <w:szCs w:val="24"/>
        </w:rPr>
        <w:t>under-</w:t>
      </w:r>
      <w:r w:rsidRPr="00445E04">
        <w:rPr>
          <w:rFonts w:ascii="Times New Roman" w:hAnsi="Times New Roman" w:cs="Times New Roman"/>
          <w:sz w:val="24"/>
          <w:szCs w:val="24"/>
        </w:rPr>
        <w:t xml:space="preserve">estimated </w:t>
      </w:r>
      <w:r w:rsidR="006D7825" w:rsidRPr="00445E04">
        <w:rPr>
          <w:rFonts w:ascii="Times New Roman" w:hAnsi="Times New Roman" w:cs="Times New Roman"/>
          <w:sz w:val="24"/>
          <w:szCs w:val="24"/>
        </w:rPr>
        <w:t xml:space="preserve">(Google Incorporation, 2017). </w:t>
      </w:r>
      <w:r w:rsidRPr="00445E04">
        <w:rPr>
          <w:rFonts w:ascii="Times New Roman" w:hAnsi="Times New Roman" w:cs="Times New Roman"/>
          <w:sz w:val="24"/>
          <w:szCs w:val="24"/>
        </w:rPr>
        <w:t>Majority of the listed products are certainly affiliated and available in Google’s core businesses and Web search.  Herein, chrome and Android web searcher are suitably designed to ensure that Google search bar is accessible to all interested Web users who are the major customers to the firm despite the fact that they lie in varied categories. The major rationale for providing these goods and services is to maximize the value of technology and to meet the major goal of digitalization by converting t</w:t>
      </w:r>
      <w:r w:rsidR="006D7825" w:rsidRPr="00445E04">
        <w:rPr>
          <w:rFonts w:ascii="Times New Roman" w:hAnsi="Times New Roman" w:cs="Times New Roman"/>
          <w:sz w:val="24"/>
          <w:szCs w:val="24"/>
        </w:rPr>
        <w:t>he world into a global village.</w:t>
      </w:r>
      <w:r w:rsidRPr="00445E04">
        <w:rPr>
          <w:rFonts w:ascii="Times New Roman" w:hAnsi="Times New Roman" w:cs="Times New Roman"/>
          <w:sz w:val="24"/>
          <w:szCs w:val="24"/>
        </w:rPr>
        <w:t xml:space="preserve"> It also intended to act as an eye-opener for many internet-based businesses. These features are core in that they help the business to set boundaries for business decisions through market identification and customer segmentation as key tools for a successful business. </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 xml:space="preserve">Google Inc. underscores a good organizational structure. As evident, Google incorporation is patterned into several broad “Product Areas” which are suitably managed by the SVP/CEO who report to the Google’s overall CEO, Sundar Pichai: Android, Research, and </w:t>
      </w:r>
      <w:r w:rsidRPr="00445E04">
        <w:rPr>
          <w:rFonts w:ascii="Times New Roman" w:hAnsi="Times New Roman" w:cs="Times New Roman"/>
          <w:sz w:val="24"/>
          <w:szCs w:val="24"/>
        </w:rPr>
        <w:lastRenderedPageBreak/>
        <w:t>Machine Intelligence, Ads, Hardware, YouTub</w:t>
      </w:r>
      <w:r w:rsidR="006D7825" w:rsidRPr="00445E04">
        <w:rPr>
          <w:rFonts w:ascii="Times New Roman" w:hAnsi="Times New Roman" w:cs="Times New Roman"/>
          <w:sz w:val="24"/>
          <w:szCs w:val="24"/>
        </w:rPr>
        <w:t>e, and Google map among others.</w:t>
      </w:r>
      <w:r w:rsidRPr="00445E04">
        <w:rPr>
          <w:rFonts w:ascii="Times New Roman" w:hAnsi="Times New Roman" w:cs="Times New Roman"/>
          <w:sz w:val="24"/>
          <w:szCs w:val="24"/>
        </w:rPr>
        <w:t xml:space="preserve"> Moreover, Google’s global business operations also generate reports to Google’s overall CEO (Google Incorporation, 2017). From another point of view, Google applies a matrix organizational structure, which is a hybrid amid functional and divisional structure. For that reason, the company’s organizational structure sticks to three core features, which include flatness, product-based definition, and function-based definition. The company uses the function as a basis for categorizing employees in all dimensions. Overall, the management gives a growing emphasis on the aspect of organization and structure as key factors in defining the brand image.  </w:t>
      </w:r>
    </w:p>
    <w:p w:rsidR="00626A3A" w:rsidRPr="00445E04" w:rsidRDefault="00626A3A" w:rsidP="006D0203">
      <w:pPr>
        <w:pStyle w:val="ListParagraph"/>
        <w:numPr>
          <w:ilvl w:val="0"/>
          <w:numId w:val="1"/>
        </w:numPr>
        <w:tabs>
          <w:tab w:val="left" w:pos="2670"/>
        </w:tabs>
        <w:spacing w:line="480" w:lineRule="auto"/>
        <w:jc w:val="center"/>
        <w:rPr>
          <w:rFonts w:ascii="Times New Roman" w:hAnsi="Times New Roman" w:cs="Times New Roman"/>
          <w:b/>
          <w:sz w:val="24"/>
          <w:szCs w:val="24"/>
        </w:rPr>
      </w:pPr>
      <w:r w:rsidRPr="00445E04">
        <w:rPr>
          <w:rFonts w:ascii="Times New Roman" w:hAnsi="Times New Roman" w:cs="Times New Roman"/>
          <w:b/>
          <w:sz w:val="24"/>
          <w:szCs w:val="24"/>
        </w:rPr>
        <w:t>Recent Financial Performance</w:t>
      </w:r>
    </w:p>
    <w:p w:rsidR="0017223D" w:rsidRPr="00445E04" w:rsidRDefault="0017223D" w:rsidP="0017223D">
      <w:pPr>
        <w:jc w:val="center"/>
        <w:rPr>
          <w:rFonts w:ascii="Times New Roman" w:hAnsi="Times New Roman" w:cs="Times New Roman"/>
          <w:b/>
          <w:i/>
          <w:sz w:val="24"/>
          <w:szCs w:val="24"/>
        </w:rPr>
      </w:pPr>
      <w:r w:rsidRPr="00445E04">
        <w:rPr>
          <w:rFonts w:ascii="Times New Roman" w:hAnsi="Times New Roman" w:cs="Times New Roman"/>
          <w:b/>
          <w:i/>
          <w:sz w:val="24"/>
          <w:szCs w:val="24"/>
        </w:rPr>
        <w:t>Consolidated income statement from 2016 to 2018</w:t>
      </w:r>
    </w:p>
    <w:p w:rsidR="0017223D" w:rsidRPr="00445E04" w:rsidRDefault="0017223D" w:rsidP="0017223D">
      <w:pPr>
        <w:spacing w:line="480" w:lineRule="auto"/>
        <w:rPr>
          <w:rFonts w:ascii="Times New Roman" w:hAnsi="Times New Roman" w:cs="Times New Roman"/>
          <w:color w:val="000000" w:themeColor="text1"/>
          <w:sz w:val="24"/>
          <w:szCs w:val="24"/>
        </w:rPr>
      </w:pPr>
      <w:r w:rsidRPr="00445E04">
        <w:rPr>
          <w:rFonts w:ascii="Times New Roman" w:hAnsi="Times New Roman" w:cs="Times New Roman"/>
          <w:color w:val="000000" w:themeColor="text1"/>
          <w:sz w:val="24"/>
          <w:szCs w:val="24"/>
        </w:rPr>
        <w:tab/>
        <w:t xml:space="preserve">The section highlights the company’s changes in the expenses, income and profit over the years. The income statement shows impressive performance in revenue. The financial records illustrate that Google revenue was on a rising trend. The improved performance saw the company record a gain of 18.39% in 2016/2017 financial year and 18.23% for the 2017/2018 financial year (“Google Incorporation,” 2018). The revenue increase may be as a result of improving marketing skills and operational management. The improved performance can also be attributed by the company’s effort to come up with new methods of operations, which made it allocate more funds for research and development. The company also had increased operations, which led to more operational costs. The increase in cost is evident in from the financial performance of which the financial year 2017/2018 had an increase in the operational cost by 30.64%. Further, the gross profit for the three years also showed a rising trend with 2018 recording the highest at $77270000 whereas 2016 reported the lowest value at $55134000. </w:t>
      </w:r>
    </w:p>
    <w:p w:rsidR="0017223D" w:rsidRPr="00445E04" w:rsidRDefault="0017223D" w:rsidP="0017223D">
      <w:pPr>
        <w:spacing w:line="480" w:lineRule="auto"/>
        <w:rPr>
          <w:rFonts w:ascii="Times New Roman" w:hAnsi="Times New Roman" w:cs="Times New Roman"/>
          <w:color w:val="000000" w:themeColor="text1"/>
          <w:sz w:val="24"/>
          <w:szCs w:val="24"/>
        </w:rPr>
      </w:pPr>
      <w:r w:rsidRPr="00445E04">
        <w:rPr>
          <w:rFonts w:ascii="Times New Roman" w:hAnsi="Times New Roman" w:cs="Times New Roman"/>
          <w:color w:val="000000" w:themeColor="text1"/>
          <w:sz w:val="24"/>
          <w:szCs w:val="24"/>
        </w:rPr>
        <w:t>The pie chart below illustrates changes in revenue for Google Inc.</w:t>
      </w:r>
    </w:p>
    <w:p w:rsidR="0017223D" w:rsidRPr="00445E04" w:rsidRDefault="0017223D" w:rsidP="0017223D">
      <w:pPr>
        <w:spacing w:line="480" w:lineRule="auto"/>
        <w:rPr>
          <w:rFonts w:ascii="Times New Roman" w:hAnsi="Times New Roman" w:cs="Times New Roman"/>
          <w:color w:val="000000" w:themeColor="text1"/>
          <w:sz w:val="24"/>
          <w:szCs w:val="24"/>
        </w:rPr>
      </w:pPr>
      <w:r w:rsidRPr="00445E04">
        <w:rPr>
          <w:rFonts w:ascii="Times New Roman" w:hAnsi="Times New Roman" w:cs="Times New Roman"/>
          <w:noProof/>
          <w:color w:val="000000" w:themeColor="text1"/>
          <w:sz w:val="24"/>
          <w:szCs w:val="24"/>
        </w:rPr>
        <w:lastRenderedPageBreak/>
        <w:drawing>
          <wp:inline distT="0" distB="0" distL="0" distR="0">
            <wp:extent cx="4572000" cy="24955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7223D" w:rsidRPr="00445E04" w:rsidRDefault="0017223D" w:rsidP="006D0203">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Operation Income</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ab/>
        <w:t xml:space="preserve">The operating income is arrived at after deducting the operating cost from the gross income. The company had a rising trend in the operating income with 2018 reporting a value of $31392000 whereas 2016 having the lowest figure of $23,716,000. The corporation's cost that was associated with the operating cost </w:t>
      </w:r>
      <w:r w:rsidR="000E71FE" w:rsidRPr="00445E04">
        <w:rPr>
          <w:rFonts w:ascii="Times New Roman" w:hAnsi="Times New Roman" w:cs="Times New Roman"/>
          <w:color w:val="000000" w:themeColor="text1"/>
        </w:rPr>
        <w:t>includes</w:t>
      </w:r>
      <w:r w:rsidRPr="00445E04">
        <w:rPr>
          <w:rFonts w:ascii="Times New Roman" w:hAnsi="Times New Roman" w:cs="Times New Roman"/>
          <w:color w:val="000000" w:themeColor="text1"/>
        </w:rPr>
        <w:t xml:space="preserve"> General and administration Cost, selling and general administrative cost, and the non-recurring expenses. The increase in tax and the interest on capital made the net income to decrease in 2017. However, performance for 2018 was impressive, of which the company recorded a net income of $30,376,000. The trend in the net income performance is illustrated in the bar graph below: </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lastRenderedPageBreak/>
        <w:drawing>
          <wp:inline distT="0" distB="0" distL="0" distR="0">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i/>
          <w:color w:val="000000" w:themeColor="text1"/>
        </w:rPr>
      </w:pPr>
      <w:r w:rsidRPr="00445E04">
        <w:rPr>
          <w:rFonts w:ascii="Times New Roman" w:hAnsi="Times New Roman" w:cs="Times New Roman"/>
          <w:i/>
          <w:color w:val="000000" w:themeColor="text1"/>
        </w:rPr>
        <w:t>Chart showing the net income trend</w:t>
      </w:r>
    </w:p>
    <w:p w:rsidR="0017223D" w:rsidRPr="00445E04" w:rsidRDefault="0017223D" w:rsidP="006D0203">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Earnings before interest tax and depreciation</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ab/>
        <w:t xml:space="preserve">The amount is derived after the deduction of the company’s expenses without including interest, tax and depreciation. The companies show an increasing trend in interest and depreciation expenses. The increase contributes to the rising trend in the EBIT in the income statement.  </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Chart showing the performance trend in EBIT, interest and tax.</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7223D" w:rsidRPr="00445E04" w:rsidRDefault="0017223D" w:rsidP="0017223D">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lastRenderedPageBreak/>
        <w:t>Cash flows</w:t>
      </w:r>
    </w:p>
    <w:p w:rsidR="0017223D" w:rsidRPr="00445E04" w:rsidRDefault="0017223D" w:rsidP="0017223D">
      <w:pPr>
        <w:pStyle w:val="Title2"/>
        <w:spacing w:before="100" w:beforeAutospacing="1" w:after="100" w:afterAutospacing="1"/>
        <w:ind w:firstLine="720"/>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 xml:space="preserve">Google consolidated cash flow statement highlights the movement of cash in and out of the organization. The significant items in the cash flow statements include the operating activities, investing activities and financing activities. </w:t>
      </w:r>
    </w:p>
    <w:p w:rsidR="0017223D" w:rsidRPr="00445E04" w:rsidRDefault="008602D6" w:rsidP="006D0203">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from Operating Activities</w:t>
      </w:r>
    </w:p>
    <w:p w:rsidR="0017223D" w:rsidRPr="00445E04" w:rsidRDefault="0017223D" w:rsidP="0017223D">
      <w:pPr>
        <w:pStyle w:val="Title2"/>
        <w:spacing w:before="100" w:beforeAutospacing="1" w:after="100" w:afterAutospacing="1"/>
        <w:ind w:firstLine="720"/>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 xml:space="preserve">The reported cash from operating activities includes the changes in the values of the working capital items and the other activities excluding the discounted operations. The company’s stock from operating activities showed an increasing trend with 2016 reporting $36,036, $37091 and $47971 for 2016, 2017 and 2018 financial years respectively. The </w:t>
      </w:r>
      <w:r w:rsidR="006A513D" w:rsidRPr="00445E04">
        <w:rPr>
          <w:rFonts w:ascii="Times New Roman" w:hAnsi="Times New Roman" w:cs="Times New Roman"/>
          <w:color w:val="000000" w:themeColor="text1"/>
        </w:rPr>
        <w:t>statements below show</w:t>
      </w:r>
      <w:r w:rsidRPr="00445E04">
        <w:rPr>
          <w:rFonts w:ascii="Times New Roman" w:hAnsi="Times New Roman" w:cs="Times New Roman"/>
          <w:color w:val="000000" w:themeColor="text1"/>
        </w:rPr>
        <w:t xml:space="preserve"> the company’s cash flow from operating activities from 2015 to 2018. </w:t>
      </w:r>
    </w:p>
    <w:p w:rsidR="0017223D" w:rsidRPr="00445E04" w:rsidRDefault="0017223D" w:rsidP="0017223D">
      <w:pPr>
        <w:pStyle w:val="Title2"/>
        <w:spacing w:before="100" w:beforeAutospacing="1" w:after="100" w:afterAutospacing="1"/>
        <w:ind w:firstLine="720"/>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5943600" cy="27082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708275"/>
                    </a:xfrm>
                    <a:prstGeom prst="rect">
                      <a:avLst/>
                    </a:prstGeom>
                  </pic:spPr>
                </pic:pic>
              </a:graphicData>
            </a:graphic>
          </wp:inline>
        </w:drawing>
      </w:r>
    </w:p>
    <w:p w:rsidR="0017223D" w:rsidRPr="00445E04" w:rsidRDefault="0017223D" w:rsidP="006D0203">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from investing activities.</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ab/>
        <w:t xml:space="preserve">The important items for Google include equipment, PPE, collection and acquisition of debts and other productive assets. The business cash flow from investing activities does not include amounts from the discounted operations. The statement cash flow statement below shows an overview of the company’s cash movements from the investing activities. </w:t>
      </w:r>
    </w:p>
    <w:p w:rsidR="008602D6" w:rsidRPr="00445E04" w:rsidRDefault="008602D6" w:rsidP="008602D6">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lastRenderedPageBreak/>
        <w:t>Cash from investing activities.</w:t>
      </w:r>
    </w:p>
    <w:p w:rsidR="008602D6" w:rsidRPr="00445E04" w:rsidRDefault="008602D6" w:rsidP="0017223D">
      <w:pPr>
        <w:pStyle w:val="Title2"/>
        <w:spacing w:before="100" w:beforeAutospacing="1" w:after="100" w:afterAutospacing="1"/>
        <w:contextualSpacing/>
        <w:jc w:val="left"/>
        <w:rPr>
          <w:rFonts w:ascii="Times New Roman" w:hAnsi="Times New Roman" w:cs="Times New Roman"/>
          <w:color w:val="000000" w:themeColor="text1"/>
        </w:rPr>
      </w:pP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5934075" cy="323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4075" cy="323850"/>
                    </a:xfrm>
                    <a:prstGeom prst="rect">
                      <a:avLst/>
                    </a:prstGeom>
                  </pic:spPr>
                </pic:pic>
              </a:graphicData>
            </a:graphic>
          </wp:inline>
        </w:drawing>
      </w:r>
      <w:r w:rsidRPr="00445E04">
        <w:rPr>
          <w:rFonts w:ascii="Times New Roman" w:hAnsi="Times New Roman" w:cs="Times New Roman"/>
          <w:noProof/>
          <w:color w:val="000000" w:themeColor="text1"/>
          <w:lang w:eastAsia="en-US"/>
        </w:rPr>
        <w:drawing>
          <wp:inline distT="0" distB="0" distL="0" distR="0">
            <wp:extent cx="5943600" cy="14636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463675"/>
                    </a:xfrm>
                    <a:prstGeom prst="rect">
                      <a:avLst/>
                    </a:prstGeom>
                  </pic:spPr>
                </pic:pic>
              </a:graphicData>
            </a:graphic>
          </wp:inline>
        </w:drawing>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 xml:space="preserve">The illustration shows that the company had more of capital expenditure, which contributed to it having net cash outflow in the investing activities. </w:t>
      </w:r>
    </w:p>
    <w:p w:rsidR="0017223D" w:rsidRPr="00445E04" w:rsidRDefault="0017223D" w:rsidP="006D0203">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from financing activities</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 xml:space="preserve">The financing </w:t>
      </w:r>
      <w:r w:rsidR="006A513D" w:rsidRPr="00445E04">
        <w:rPr>
          <w:rFonts w:ascii="Times New Roman" w:hAnsi="Times New Roman" w:cs="Times New Roman"/>
          <w:color w:val="000000" w:themeColor="text1"/>
        </w:rPr>
        <w:t>activities illustrate</w:t>
      </w:r>
      <w:r w:rsidRPr="00445E04">
        <w:rPr>
          <w:rFonts w:ascii="Times New Roman" w:hAnsi="Times New Roman" w:cs="Times New Roman"/>
          <w:color w:val="000000" w:themeColor="text1"/>
        </w:rPr>
        <w:t xml:space="preserve"> business cash movement from the company’s operations. The business may obtain finance from the shareholders, or borrow more funds to enable it to pay its obligations. Below is an illustration of the ash from financing activities.</w:t>
      </w:r>
    </w:p>
    <w:p w:rsidR="008602D6" w:rsidRPr="00445E04" w:rsidRDefault="008602D6" w:rsidP="008602D6">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from financing activities</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5934075" cy="323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4075" cy="323850"/>
                    </a:xfrm>
                    <a:prstGeom prst="rect">
                      <a:avLst/>
                    </a:prstGeom>
                  </pic:spPr>
                </pic:pic>
              </a:graphicData>
            </a:graphic>
          </wp:inline>
        </w:drawing>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5172075" cy="21336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72075" cy="2133600"/>
                    </a:xfrm>
                    <a:prstGeom prst="rect">
                      <a:avLst/>
                    </a:prstGeom>
                  </pic:spPr>
                </pic:pic>
              </a:graphicData>
            </a:graphic>
          </wp:inline>
        </w:drawing>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lastRenderedPageBreak/>
        <w:t xml:space="preserve">The illustration shows that the business only earned </w:t>
      </w:r>
      <w:r w:rsidR="006A513D" w:rsidRPr="00445E04">
        <w:rPr>
          <w:rFonts w:ascii="Times New Roman" w:hAnsi="Times New Roman" w:cs="Times New Roman"/>
          <w:color w:val="000000" w:themeColor="text1"/>
        </w:rPr>
        <w:t>net</w:t>
      </w:r>
      <w:r w:rsidRPr="00445E04">
        <w:rPr>
          <w:rFonts w:ascii="Times New Roman" w:hAnsi="Times New Roman" w:cs="Times New Roman"/>
          <w:color w:val="000000" w:themeColor="text1"/>
        </w:rPr>
        <w:t xml:space="preserve"> cash inflow from fin</w:t>
      </w:r>
      <w:r w:rsidR="006A513D">
        <w:rPr>
          <w:rFonts w:ascii="Times New Roman" w:hAnsi="Times New Roman" w:cs="Times New Roman"/>
          <w:color w:val="000000" w:themeColor="text1"/>
        </w:rPr>
        <w:t xml:space="preserve">ancing activities in 2017 whereas in </w:t>
      </w:r>
      <w:r w:rsidRPr="00445E04">
        <w:rPr>
          <w:rFonts w:ascii="Times New Roman" w:hAnsi="Times New Roman" w:cs="Times New Roman"/>
          <w:color w:val="000000" w:themeColor="text1"/>
        </w:rPr>
        <w:t>2016 and 2018, the net cash outflows were -$13179 and -$8332 respectively.</w:t>
      </w:r>
    </w:p>
    <w:p w:rsidR="0017223D" w:rsidRPr="00445E04" w:rsidRDefault="0017223D" w:rsidP="0017223D">
      <w:pPr>
        <w:pStyle w:val="Title2"/>
        <w:spacing w:before="100" w:beforeAutospacing="1" w:after="100" w:afterAutospacing="1"/>
        <w:contextualSpacing/>
        <w:rPr>
          <w:rFonts w:ascii="Times New Roman" w:hAnsi="Times New Roman" w:cs="Times New Roman"/>
          <w:color w:val="000000" w:themeColor="text1"/>
        </w:rPr>
      </w:pPr>
      <w:r w:rsidRPr="00445E04">
        <w:rPr>
          <w:rFonts w:ascii="Times New Roman" w:hAnsi="Times New Roman" w:cs="Times New Roman"/>
          <w:b/>
          <w:i/>
          <w:color w:val="000000" w:themeColor="text1"/>
        </w:rPr>
        <w:t>Underlying financial performanc</w:t>
      </w:r>
      <w:r w:rsidRPr="00445E04">
        <w:rPr>
          <w:rFonts w:ascii="Times New Roman" w:hAnsi="Times New Roman" w:cs="Times New Roman"/>
          <w:i/>
          <w:color w:val="000000" w:themeColor="text1"/>
        </w:rPr>
        <w:t>e</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ab/>
        <w:t xml:space="preserve"> The current performance is healthy for the going concern</w:t>
      </w:r>
      <w:r w:rsidR="006A513D">
        <w:rPr>
          <w:rFonts w:ascii="Times New Roman" w:hAnsi="Times New Roman" w:cs="Times New Roman"/>
          <w:color w:val="000000" w:themeColor="text1"/>
        </w:rPr>
        <w:t xml:space="preserve"> of</w:t>
      </w:r>
      <w:r w:rsidRPr="00445E04">
        <w:rPr>
          <w:rFonts w:ascii="Times New Roman" w:hAnsi="Times New Roman" w:cs="Times New Roman"/>
          <w:color w:val="000000" w:themeColor="text1"/>
        </w:rPr>
        <w:t xml:space="preserve"> the company based on the increase in the net profit as well as ratio analysis.  However, the business needs to reduce the amount it has on current assets to increase the cash required for operations. Recently the company also acquired one of the technological companies, Motorola. The acquisition enabled Google to have multiple sub-segments, thereby making it have numerous income streams. It also intends to acquire the subsidiary’s production patents to allow the business to have full control over the Motorola Company. The complete acquisition will increase Google’s competitive advantage in the market. </w:t>
      </w:r>
    </w:p>
    <w:p w:rsidR="0017223D" w:rsidRPr="00445E04" w:rsidRDefault="006D0203" w:rsidP="006D0203">
      <w:pPr>
        <w:pStyle w:val="Title2"/>
        <w:numPr>
          <w:ilvl w:val="0"/>
          <w:numId w:val="1"/>
        </w:numPr>
        <w:spacing w:before="100" w:beforeAutospacing="1" w:after="100" w:afterAutospacing="1"/>
        <w:contextualSpacing/>
        <w:rPr>
          <w:rFonts w:ascii="Times New Roman" w:hAnsi="Times New Roman" w:cs="Times New Roman"/>
          <w:b/>
          <w:color w:val="000000" w:themeColor="text1"/>
        </w:rPr>
      </w:pPr>
      <w:r w:rsidRPr="00445E04">
        <w:rPr>
          <w:rFonts w:ascii="Times New Roman" w:hAnsi="Times New Roman" w:cs="Times New Roman"/>
          <w:b/>
          <w:color w:val="000000" w:themeColor="text1"/>
        </w:rPr>
        <w:t xml:space="preserve">Current </w:t>
      </w:r>
      <w:r w:rsidR="0017223D" w:rsidRPr="00445E04">
        <w:rPr>
          <w:rFonts w:ascii="Times New Roman" w:hAnsi="Times New Roman" w:cs="Times New Roman"/>
          <w:b/>
          <w:color w:val="000000" w:themeColor="text1"/>
        </w:rPr>
        <w:t>Financial Health</w:t>
      </w:r>
    </w:p>
    <w:p w:rsidR="0017223D" w:rsidRPr="00445E04" w:rsidRDefault="0017223D" w:rsidP="006A513D">
      <w:pPr>
        <w:pStyle w:val="Title2"/>
        <w:spacing w:before="100" w:beforeAutospacing="1" w:after="100" w:afterAutospacing="1"/>
        <w:ind w:firstLine="720"/>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The company is well known in the technological sector. Its primary competitors include AOL, Yahoo, Inc and MSN. However, Google still performs better than all its competitors ranging from profitability to efficiency. The financial health of Google, Inc</w:t>
      </w:r>
      <w:r w:rsidR="006D0203" w:rsidRPr="00445E04">
        <w:rPr>
          <w:rFonts w:ascii="Times New Roman" w:hAnsi="Times New Roman" w:cs="Times New Roman"/>
          <w:color w:val="000000" w:themeColor="text1"/>
        </w:rPr>
        <w:t>.</w:t>
      </w:r>
      <w:r w:rsidRPr="00445E04">
        <w:rPr>
          <w:rFonts w:ascii="Times New Roman" w:hAnsi="Times New Roman" w:cs="Times New Roman"/>
          <w:color w:val="000000" w:themeColor="text1"/>
        </w:rPr>
        <w:t xml:space="preserve"> can be evaluated from the ratio analysis </w:t>
      </w:r>
      <w:r w:rsidR="006D0203" w:rsidRPr="00445E04">
        <w:rPr>
          <w:rFonts w:ascii="Times New Roman" w:hAnsi="Times New Roman" w:cs="Times New Roman"/>
          <w:color w:val="000000" w:themeColor="text1"/>
        </w:rPr>
        <w:t>and other balance sheet items.</w:t>
      </w:r>
    </w:p>
    <w:p w:rsidR="0017223D" w:rsidRPr="00445E04" w:rsidRDefault="0017223D" w:rsidP="006D0203">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and Cash Equivalent</w:t>
      </w:r>
    </w:p>
    <w:p w:rsidR="0017223D" w:rsidRPr="00445E04" w:rsidRDefault="0017223D" w:rsidP="0017223D">
      <w:pPr>
        <w:pStyle w:val="Title2"/>
        <w:spacing w:before="100" w:beforeAutospacing="1" w:after="100" w:afterAutospacing="1"/>
        <w:ind w:left="284" w:firstLine="720"/>
        <w:contextualSpacing/>
        <w:jc w:val="left"/>
        <w:rPr>
          <w:rFonts w:ascii="Times New Roman" w:hAnsi="Times New Roman" w:cs="Times New Roman"/>
          <w:color w:val="000000" w:themeColor="text1"/>
        </w:rPr>
      </w:pPr>
      <w:r w:rsidRPr="00445E04">
        <w:rPr>
          <w:rFonts w:ascii="Times New Roman" w:hAnsi="Times New Roman" w:cs="Times New Roman"/>
          <w:color w:val="000000" w:themeColor="text1"/>
        </w:rPr>
        <w:t xml:space="preserve">The company’s cash and cash equivalent recorded an increase with 2018 reporting the highest amount of $101.9 billion. The same performance was evident in the cash ratio where the business recorded a steady increase in the ratio signifying that it is in a position to settle the short term debts. </w:t>
      </w:r>
    </w:p>
    <w:p w:rsidR="0017223D" w:rsidRPr="00445E04" w:rsidRDefault="0017223D" w:rsidP="0017223D">
      <w:pPr>
        <w:pStyle w:val="Title2"/>
        <w:spacing w:before="100" w:beforeAutospacing="1" w:after="100" w:afterAutospacing="1"/>
        <w:ind w:left="284"/>
        <w:contextualSpacing/>
        <w:jc w:val="left"/>
        <w:rPr>
          <w:rFonts w:ascii="Times New Roman" w:hAnsi="Times New Roman" w:cs="Times New Roman"/>
        </w:rPr>
      </w:pPr>
      <w:r w:rsidRPr="00445E04">
        <w:rPr>
          <w:rFonts w:ascii="Times New Roman" w:hAnsi="Times New Roman" w:cs="Times New Roman"/>
          <w:color w:val="000000" w:themeColor="text1"/>
        </w:rPr>
        <w:t>The chart below illustrates the company’s performance based on different liquidity ratios</w:t>
      </w:r>
      <w:r w:rsidRPr="00445E04">
        <w:rPr>
          <w:rFonts w:ascii="Times New Roman" w:hAnsi="Times New Roman" w:cs="Times New Roman"/>
        </w:rPr>
        <w:t>.</w:t>
      </w:r>
    </w:p>
    <w:tbl>
      <w:tblPr>
        <w:tblW w:w="4300" w:type="dxa"/>
        <w:jc w:val="center"/>
        <w:tblLook w:val="04A0"/>
      </w:tblPr>
      <w:tblGrid>
        <w:gridCol w:w="1420"/>
        <w:gridCol w:w="1116"/>
        <w:gridCol w:w="1116"/>
        <w:gridCol w:w="1116"/>
      </w:tblGrid>
      <w:tr w:rsidR="0017223D" w:rsidRPr="00445E04" w:rsidTr="006D0203">
        <w:trPr>
          <w:trHeight w:val="315"/>
          <w:jc w:val="center"/>
        </w:trPr>
        <w:tc>
          <w:tcPr>
            <w:tcW w:w="1420" w:type="dxa"/>
            <w:tcBorders>
              <w:top w:val="single" w:sz="8" w:space="0" w:color="auto"/>
              <w:left w:val="single" w:sz="8" w:space="0" w:color="auto"/>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single" w:sz="8" w:space="0" w:color="auto"/>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2019</w:t>
            </w:r>
          </w:p>
        </w:tc>
        <w:tc>
          <w:tcPr>
            <w:tcW w:w="960" w:type="dxa"/>
            <w:tcBorders>
              <w:top w:val="single" w:sz="8" w:space="0" w:color="auto"/>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2018</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2017</w:t>
            </w:r>
          </w:p>
        </w:tc>
      </w:tr>
      <w:tr w:rsidR="0017223D" w:rsidRPr="00445E04" w:rsidTr="006D0203">
        <w:trPr>
          <w:trHeight w:val="300"/>
          <w:jc w:val="center"/>
        </w:trPr>
        <w:tc>
          <w:tcPr>
            <w:tcW w:w="1420" w:type="dxa"/>
            <w:tcBorders>
              <w:top w:val="nil"/>
              <w:left w:val="single" w:sz="8" w:space="0" w:color="auto"/>
              <w:bottom w:val="nil"/>
              <w:right w:val="single" w:sz="8" w:space="0" w:color="auto"/>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lastRenderedPageBreak/>
              <w:t>Quick ratio</w:t>
            </w:r>
          </w:p>
        </w:tc>
        <w:tc>
          <w:tcPr>
            <w:tcW w:w="960" w:type="dxa"/>
            <w:tcBorders>
              <w:top w:val="nil"/>
              <w:left w:val="nil"/>
              <w:bottom w:val="nil"/>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3.887031</w:t>
            </w:r>
          </w:p>
        </w:tc>
        <w:tc>
          <w:tcPr>
            <w:tcW w:w="960" w:type="dxa"/>
            <w:tcBorders>
              <w:top w:val="nil"/>
              <w:left w:val="nil"/>
              <w:bottom w:val="nil"/>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5.109333</w:t>
            </w:r>
          </w:p>
        </w:tc>
        <w:tc>
          <w:tcPr>
            <w:tcW w:w="960" w:type="dxa"/>
            <w:tcBorders>
              <w:top w:val="nil"/>
              <w:left w:val="nil"/>
              <w:bottom w:val="nil"/>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6.274767</w:t>
            </w:r>
          </w:p>
        </w:tc>
      </w:tr>
      <w:tr w:rsidR="0017223D" w:rsidRPr="00445E04" w:rsidTr="006D0203">
        <w:trPr>
          <w:trHeight w:val="300"/>
          <w:jc w:val="center"/>
        </w:trPr>
        <w:tc>
          <w:tcPr>
            <w:tcW w:w="1420" w:type="dxa"/>
            <w:tcBorders>
              <w:top w:val="nil"/>
              <w:left w:val="single" w:sz="8" w:space="0" w:color="auto"/>
              <w:bottom w:val="nil"/>
              <w:right w:val="single" w:sz="8" w:space="0" w:color="auto"/>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Current ratio</w:t>
            </w:r>
          </w:p>
        </w:tc>
        <w:tc>
          <w:tcPr>
            <w:tcW w:w="960" w:type="dxa"/>
            <w:tcBorders>
              <w:top w:val="nil"/>
              <w:left w:val="nil"/>
              <w:bottom w:val="nil"/>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3.919006</w:t>
            </w:r>
          </w:p>
        </w:tc>
        <w:tc>
          <w:tcPr>
            <w:tcW w:w="960" w:type="dxa"/>
            <w:tcBorders>
              <w:top w:val="nil"/>
              <w:left w:val="nil"/>
              <w:bottom w:val="nil"/>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5.140305</w:t>
            </w:r>
          </w:p>
        </w:tc>
        <w:tc>
          <w:tcPr>
            <w:tcW w:w="960" w:type="dxa"/>
            <w:tcBorders>
              <w:top w:val="nil"/>
              <w:left w:val="nil"/>
              <w:bottom w:val="nil"/>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6.290762</w:t>
            </w:r>
          </w:p>
        </w:tc>
      </w:tr>
      <w:tr w:rsidR="0017223D" w:rsidRPr="00445E04" w:rsidTr="006D0203">
        <w:trPr>
          <w:trHeight w:val="315"/>
          <w:jc w:val="center"/>
        </w:trPr>
        <w:tc>
          <w:tcPr>
            <w:tcW w:w="1420" w:type="dxa"/>
            <w:tcBorders>
              <w:top w:val="nil"/>
              <w:left w:val="single" w:sz="8" w:space="0" w:color="auto"/>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Cash ratio</w:t>
            </w:r>
          </w:p>
        </w:tc>
        <w:tc>
          <w:tcPr>
            <w:tcW w:w="960" w:type="dxa"/>
            <w:tcBorders>
              <w:top w:val="nil"/>
              <w:left w:val="nil"/>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3.152513</w:t>
            </w:r>
          </w:p>
        </w:tc>
        <w:tc>
          <w:tcPr>
            <w:tcW w:w="960" w:type="dxa"/>
            <w:tcBorders>
              <w:top w:val="nil"/>
              <w:left w:val="nil"/>
              <w:bottom w:val="single" w:sz="8" w:space="0" w:color="auto"/>
              <w:right w:val="single" w:sz="8" w:space="0" w:color="auto"/>
            </w:tcBorders>
            <w:shd w:val="clear" w:color="auto" w:fill="auto"/>
            <w:noWrap/>
            <w:vAlign w:val="bottom"/>
            <w:hideMark/>
          </w:tcPr>
          <w:p w:rsidR="0017223D" w:rsidRPr="00445E04" w:rsidRDefault="0017223D" w:rsidP="006D0203">
            <w:pPr>
              <w:spacing w:after="0" w:line="240" w:lineRule="auto"/>
              <w:jc w:val="center"/>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4.212505</w:t>
            </w:r>
          </w:p>
        </w:tc>
        <w:tc>
          <w:tcPr>
            <w:tcW w:w="960" w:type="dxa"/>
            <w:tcBorders>
              <w:top w:val="nil"/>
              <w:left w:val="nil"/>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5.152363</w:t>
            </w:r>
          </w:p>
        </w:tc>
      </w:tr>
    </w:tbl>
    <w:p w:rsidR="0017223D" w:rsidRPr="00445E04" w:rsidRDefault="0017223D" w:rsidP="0017223D">
      <w:pPr>
        <w:pStyle w:val="Title2"/>
        <w:spacing w:before="100" w:beforeAutospacing="1" w:after="100" w:afterAutospacing="1"/>
        <w:ind w:left="284" w:firstLine="720"/>
        <w:contextualSpacing/>
        <w:jc w:val="left"/>
        <w:rPr>
          <w:rFonts w:ascii="Times New Roman" w:hAnsi="Times New Roman" w:cs="Times New Roman"/>
        </w:rPr>
      </w:pPr>
    </w:p>
    <w:p w:rsidR="0017223D" w:rsidRPr="00445E04" w:rsidRDefault="0017223D" w:rsidP="0017223D">
      <w:pPr>
        <w:pStyle w:val="Title2"/>
        <w:spacing w:before="100" w:beforeAutospacing="1" w:after="100" w:afterAutospacing="1"/>
        <w:ind w:left="284" w:firstLine="720"/>
        <w:contextualSpacing/>
        <w:jc w:val="left"/>
        <w:rPr>
          <w:rFonts w:ascii="Times New Roman" w:hAnsi="Times New Roman" w:cs="Times New Roman"/>
        </w:rPr>
      </w:pPr>
      <w:r w:rsidRPr="00445E04">
        <w:rPr>
          <w:rFonts w:ascii="Times New Roman" w:hAnsi="Times New Roman" w:cs="Times New Roman"/>
          <w:noProof/>
          <w:lang w:eastAsia="en-US"/>
        </w:rPr>
        <w:drawing>
          <wp:inline distT="0" distB="0" distL="0" distR="0">
            <wp:extent cx="4572000" cy="2638425"/>
            <wp:effectExtent l="0" t="0" r="0" b="952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7223D" w:rsidRPr="00445E04" w:rsidRDefault="0017223D" w:rsidP="006D0203">
      <w:pPr>
        <w:pStyle w:val="Title2"/>
        <w:spacing w:before="100" w:beforeAutospacing="1" w:after="100" w:afterAutospacing="1"/>
        <w:contextualSpacing/>
        <w:rPr>
          <w:rFonts w:ascii="Times New Roman" w:hAnsi="Times New Roman" w:cs="Times New Roman"/>
          <w:b/>
          <w:i/>
        </w:rPr>
      </w:pPr>
      <w:r w:rsidRPr="00445E04">
        <w:rPr>
          <w:rFonts w:ascii="Times New Roman" w:hAnsi="Times New Roman" w:cs="Times New Roman"/>
          <w:b/>
          <w:i/>
        </w:rPr>
        <w:t>Debt and shareholders’ equity</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rPr>
      </w:pPr>
      <w:r w:rsidRPr="00445E04">
        <w:rPr>
          <w:rFonts w:ascii="Times New Roman" w:hAnsi="Times New Roman" w:cs="Times New Roman"/>
        </w:rPr>
        <w:tab/>
        <w:t>The Company had an increase in the value of equity with 2018, recording the highest amount of $177.63 billion. The upsurge in the equity value is an indication that more investors are showing interest in the Company, thereby making buy more shares from the business. Google’s total debt increased to $3.97B in 2017 from $3.94B in 2016, then later to $4.01B (“</w:t>
      </w:r>
      <w:r w:rsidRPr="00445E04">
        <w:rPr>
          <w:rFonts w:ascii="Times New Roman" w:hAnsi="Times New Roman" w:cs="Times New Roman"/>
          <w:noProof/>
        </w:rPr>
        <w:t>New york stock excahange market,” 2019</w:t>
      </w:r>
      <w:r w:rsidRPr="00445E04">
        <w:rPr>
          <w:rFonts w:ascii="Times New Roman" w:hAnsi="Times New Roman" w:cs="Times New Roman"/>
        </w:rPr>
        <w:t>). The Company’s leverage can be illustrated by the increase in the solvency ratio as illustrated below:</w:t>
      </w:r>
    </w:p>
    <w:tbl>
      <w:tblPr>
        <w:tblW w:w="5080" w:type="dxa"/>
        <w:jc w:val="center"/>
        <w:tblBorders>
          <w:top w:val="single" w:sz="4" w:space="0" w:color="auto"/>
        </w:tblBorders>
        <w:tblLook w:val="0000"/>
      </w:tblPr>
      <w:tblGrid>
        <w:gridCol w:w="2200"/>
        <w:gridCol w:w="960"/>
        <w:gridCol w:w="960"/>
        <w:gridCol w:w="960"/>
      </w:tblGrid>
      <w:tr w:rsidR="0017223D" w:rsidRPr="00445E04" w:rsidTr="006D0203">
        <w:trPr>
          <w:trHeight w:val="100"/>
          <w:jc w:val="center"/>
        </w:trPr>
        <w:tc>
          <w:tcPr>
            <w:tcW w:w="5080" w:type="dxa"/>
            <w:gridSpan w:val="4"/>
            <w:tcBorders>
              <w:left w:val="single" w:sz="4" w:space="0" w:color="auto"/>
              <w:right w:val="single" w:sz="4" w:space="0" w:color="auto"/>
            </w:tcBorders>
          </w:tcPr>
          <w:p w:rsidR="0017223D" w:rsidRPr="00445E04" w:rsidRDefault="0017223D" w:rsidP="00886149">
            <w:pPr>
              <w:spacing w:after="0" w:line="240" w:lineRule="auto"/>
              <w:rPr>
                <w:rFonts w:ascii="Times New Roman" w:eastAsia="Times New Roman" w:hAnsi="Times New Roman" w:cs="Times New Roman"/>
                <w:color w:val="000000"/>
                <w:sz w:val="24"/>
                <w:szCs w:val="24"/>
              </w:rPr>
            </w:pPr>
          </w:p>
        </w:tc>
      </w:tr>
      <w:tr w:rsidR="0017223D" w:rsidRPr="00445E04" w:rsidTr="006D0203">
        <w:tblPrEx>
          <w:tblBorders>
            <w:top w:val="none" w:sz="0" w:space="0" w:color="auto"/>
          </w:tblBorders>
          <w:tblLook w:val="04A0"/>
        </w:tblPrEx>
        <w:trPr>
          <w:trHeight w:val="315"/>
          <w:jc w:val="center"/>
        </w:trPr>
        <w:tc>
          <w:tcPr>
            <w:tcW w:w="2200" w:type="dxa"/>
            <w:tcBorders>
              <w:top w:val="nil"/>
              <w:left w:val="single" w:sz="4" w:space="0" w:color="auto"/>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2018</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2017</w:t>
            </w:r>
          </w:p>
        </w:tc>
        <w:tc>
          <w:tcPr>
            <w:tcW w:w="960" w:type="dxa"/>
            <w:tcBorders>
              <w:top w:val="nil"/>
              <w:left w:val="nil"/>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2016</w:t>
            </w:r>
          </w:p>
        </w:tc>
      </w:tr>
      <w:tr w:rsidR="0017223D" w:rsidRPr="00445E04" w:rsidTr="006D0203">
        <w:tblPrEx>
          <w:tblBorders>
            <w:top w:val="none" w:sz="0" w:space="0" w:color="auto"/>
          </w:tblBorders>
          <w:tblLook w:val="04A0"/>
        </w:tblPrEx>
        <w:trPr>
          <w:trHeight w:val="300"/>
          <w:jc w:val="center"/>
        </w:trPr>
        <w:tc>
          <w:tcPr>
            <w:tcW w:w="2200" w:type="dxa"/>
            <w:tcBorders>
              <w:top w:val="nil"/>
              <w:left w:val="single" w:sz="4" w:space="0" w:color="auto"/>
              <w:bottom w:val="nil"/>
              <w:right w:val="single" w:sz="4" w:space="0" w:color="auto"/>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Debt ratio</w:t>
            </w:r>
          </w:p>
        </w:tc>
        <w:tc>
          <w:tcPr>
            <w:tcW w:w="960" w:type="dxa"/>
            <w:tcBorders>
              <w:top w:val="nil"/>
              <w:left w:val="single" w:sz="4" w:space="0" w:color="auto"/>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24%</w:t>
            </w:r>
          </w:p>
        </w:tc>
        <w:tc>
          <w:tcPr>
            <w:tcW w:w="960"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23%</w:t>
            </w:r>
          </w:p>
        </w:tc>
        <w:tc>
          <w:tcPr>
            <w:tcW w:w="960" w:type="dxa"/>
            <w:tcBorders>
              <w:top w:val="nil"/>
              <w:left w:val="nil"/>
              <w:bottom w:val="nil"/>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17%</w:t>
            </w:r>
          </w:p>
        </w:tc>
      </w:tr>
      <w:tr w:rsidR="0017223D" w:rsidRPr="00445E04" w:rsidTr="006D0203">
        <w:tblPrEx>
          <w:tblBorders>
            <w:top w:val="none" w:sz="0" w:space="0" w:color="auto"/>
          </w:tblBorders>
          <w:tblLook w:val="04A0"/>
        </w:tblPrEx>
        <w:trPr>
          <w:trHeight w:val="315"/>
          <w:jc w:val="center"/>
        </w:trPr>
        <w:tc>
          <w:tcPr>
            <w:tcW w:w="2200" w:type="dxa"/>
            <w:tcBorders>
              <w:top w:val="nil"/>
              <w:left w:val="single" w:sz="4" w:space="0" w:color="auto"/>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Debt to equity ratio</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31%</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29%</w:t>
            </w:r>
          </w:p>
        </w:tc>
        <w:tc>
          <w:tcPr>
            <w:tcW w:w="960" w:type="dxa"/>
            <w:tcBorders>
              <w:top w:val="nil"/>
              <w:left w:val="nil"/>
              <w:bottom w:val="single" w:sz="8" w:space="0" w:color="auto"/>
              <w:right w:val="single" w:sz="8" w:space="0" w:color="auto"/>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w:t>
            </w:r>
          </w:p>
        </w:tc>
      </w:tr>
    </w:tbl>
    <w:p w:rsidR="0017223D" w:rsidRPr="00445E04" w:rsidRDefault="0017223D" w:rsidP="0017223D">
      <w:pPr>
        <w:pStyle w:val="Title2"/>
        <w:spacing w:before="100" w:beforeAutospacing="1" w:after="100" w:afterAutospacing="1"/>
        <w:contextualSpacing/>
        <w:jc w:val="left"/>
        <w:rPr>
          <w:rFonts w:ascii="Times New Roman" w:hAnsi="Times New Roman" w:cs="Times New Roman"/>
        </w:rPr>
      </w:pPr>
      <w:r w:rsidRPr="00445E04">
        <w:rPr>
          <w:rFonts w:ascii="Times New Roman" w:hAnsi="Times New Roman" w:cs="Times New Roman"/>
        </w:rPr>
        <w:lastRenderedPageBreak/>
        <w:t xml:space="preserve">The analysis is an indication that as the year’s progress, the equity amount also increases, thereby increasing the stability of the company. </w:t>
      </w:r>
    </w:p>
    <w:p w:rsidR="0017223D" w:rsidRPr="00445E04" w:rsidRDefault="0017223D" w:rsidP="0017223D">
      <w:pPr>
        <w:pStyle w:val="Title2"/>
        <w:spacing w:before="100" w:beforeAutospacing="1" w:after="100" w:afterAutospacing="1"/>
        <w:contextualSpacing/>
        <w:rPr>
          <w:rFonts w:ascii="Times New Roman" w:hAnsi="Times New Roman" w:cs="Times New Roman"/>
          <w:b/>
          <w:i/>
        </w:rPr>
      </w:pPr>
      <w:r w:rsidRPr="00445E04">
        <w:rPr>
          <w:rFonts w:ascii="Times New Roman" w:hAnsi="Times New Roman" w:cs="Times New Roman"/>
          <w:b/>
          <w:i/>
        </w:rPr>
        <w:t>Receivable days outstanding</w:t>
      </w:r>
    </w:p>
    <w:p w:rsidR="0017223D" w:rsidRPr="00445E04" w:rsidRDefault="0017223D" w:rsidP="0017223D">
      <w:pPr>
        <w:pStyle w:val="Title2"/>
        <w:spacing w:before="100" w:beforeAutospacing="1" w:after="100" w:afterAutospacing="1"/>
        <w:contextualSpacing/>
        <w:jc w:val="left"/>
        <w:rPr>
          <w:rFonts w:ascii="Times New Roman" w:hAnsi="Times New Roman" w:cs="Times New Roman"/>
        </w:rPr>
      </w:pPr>
      <w:r w:rsidRPr="00445E04">
        <w:rPr>
          <w:rFonts w:ascii="Times New Roman" w:hAnsi="Times New Roman" w:cs="Times New Roman"/>
        </w:rPr>
        <w:t xml:space="preserve">The receivable days shows that the company had a poor debt recovery system. The number of days increased from 58days in 2016 to 106 days in 2018 which may lead to bad debts written off by the company. </w:t>
      </w:r>
    </w:p>
    <w:tbl>
      <w:tblPr>
        <w:tblW w:w="7879" w:type="dxa"/>
        <w:tblLook w:val="04A0"/>
      </w:tblPr>
      <w:tblGrid>
        <w:gridCol w:w="1840"/>
        <w:gridCol w:w="960"/>
        <w:gridCol w:w="960"/>
        <w:gridCol w:w="1116"/>
        <w:gridCol w:w="1116"/>
        <w:gridCol w:w="1116"/>
        <w:gridCol w:w="960"/>
      </w:tblGrid>
      <w:tr w:rsidR="0017223D" w:rsidRPr="00445E04" w:rsidTr="00886149">
        <w:trPr>
          <w:trHeight w:val="315"/>
        </w:trPr>
        <w:tc>
          <w:tcPr>
            <w:tcW w:w="184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2018</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2017</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2016</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2015</w:t>
            </w:r>
          </w:p>
        </w:tc>
      </w:tr>
      <w:tr w:rsidR="0017223D" w:rsidRPr="00445E04" w:rsidTr="00886149">
        <w:trPr>
          <w:trHeight w:val="300"/>
        </w:trPr>
        <w:tc>
          <w:tcPr>
            <w:tcW w:w="2800" w:type="dxa"/>
            <w:gridSpan w:val="2"/>
            <w:tcBorders>
              <w:top w:val="nil"/>
              <w:left w:val="nil"/>
              <w:bottom w:val="nil"/>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Days sales outstanding</w:t>
            </w:r>
          </w:p>
        </w:tc>
        <w:tc>
          <w:tcPr>
            <w:tcW w:w="960"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136,819</w:t>
            </w: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110,855</w:t>
            </w: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90,272</w:t>
            </w:r>
          </w:p>
        </w:tc>
        <w:tc>
          <w:tcPr>
            <w:tcW w:w="960"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74,989</w:t>
            </w:r>
          </w:p>
        </w:tc>
      </w:tr>
      <w:tr w:rsidR="0017223D" w:rsidRPr="00445E04" w:rsidTr="00886149">
        <w:trPr>
          <w:trHeight w:val="300"/>
        </w:trPr>
        <w:tc>
          <w:tcPr>
            <w:tcW w:w="2800" w:type="dxa"/>
            <w:gridSpan w:val="2"/>
            <w:tcBorders>
              <w:top w:val="nil"/>
              <w:left w:val="nil"/>
              <w:bottom w:val="nil"/>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Accounts receivable</w:t>
            </w:r>
          </w:p>
        </w:tc>
        <w:tc>
          <w:tcPr>
            <w:tcW w:w="960"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21,193</w:t>
            </w: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18,705</w:t>
            </w: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15,632</w:t>
            </w:r>
          </w:p>
        </w:tc>
        <w:tc>
          <w:tcPr>
            <w:tcW w:w="960"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13,459</w:t>
            </w:r>
          </w:p>
        </w:tc>
      </w:tr>
      <w:tr w:rsidR="0017223D" w:rsidRPr="00445E04" w:rsidTr="00886149">
        <w:trPr>
          <w:trHeight w:val="300"/>
        </w:trPr>
        <w:tc>
          <w:tcPr>
            <w:tcW w:w="2800" w:type="dxa"/>
            <w:gridSpan w:val="2"/>
            <w:tcBorders>
              <w:top w:val="nil"/>
              <w:left w:val="nil"/>
              <w:bottom w:val="nil"/>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Average accounts receivable</w:t>
            </w:r>
          </w:p>
        </w:tc>
        <w:tc>
          <w:tcPr>
            <w:tcW w:w="960"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39,898</w:t>
            </w: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17168.5</w:t>
            </w:r>
          </w:p>
        </w:tc>
        <w:tc>
          <w:tcPr>
            <w:tcW w:w="1053"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14545.5</w:t>
            </w:r>
          </w:p>
        </w:tc>
        <w:tc>
          <w:tcPr>
            <w:tcW w:w="960" w:type="dxa"/>
            <w:tcBorders>
              <w:top w:val="nil"/>
              <w:left w:val="nil"/>
              <w:bottom w:val="nil"/>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p>
        </w:tc>
      </w:tr>
      <w:tr w:rsidR="0017223D" w:rsidRPr="00445E04" w:rsidTr="00886149">
        <w:trPr>
          <w:trHeight w:val="315"/>
        </w:trPr>
        <w:tc>
          <w:tcPr>
            <w:tcW w:w="184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Total credit sales</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0.291612</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0.154873</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0.16113</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r>
      <w:tr w:rsidR="0017223D" w:rsidRPr="00445E04" w:rsidTr="00886149">
        <w:trPr>
          <w:trHeight w:val="315"/>
        </w:trPr>
        <w:tc>
          <w:tcPr>
            <w:tcW w:w="2800" w:type="dxa"/>
            <w:gridSpan w:val="2"/>
            <w:tcBorders>
              <w:top w:val="single" w:sz="8" w:space="0" w:color="auto"/>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Multiply by number of days</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106.4382</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56.52882</w:t>
            </w:r>
          </w:p>
        </w:tc>
        <w:tc>
          <w:tcPr>
            <w:tcW w:w="1053"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58.81234</w:t>
            </w:r>
          </w:p>
        </w:tc>
        <w:tc>
          <w:tcPr>
            <w:tcW w:w="960" w:type="dxa"/>
            <w:tcBorders>
              <w:top w:val="nil"/>
              <w:left w:val="nil"/>
              <w:bottom w:val="single" w:sz="8" w:space="0" w:color="auto"/>
              <w:right w:val="nil"/>
            </w:tcBorders>
            <w:shd w:val="clear" w:color="auto" w:fill="auto"/>
            <w:noWrap/>
            <w:vAlign w:val="bottom"/>
            <w:hideMark/>
          </w:tcPr>
          <w:p w:rsidR="0017223D" w:rsidRPr="00445E04" w:rsidRDefault="0017223D"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r>
    </w:tbl>
    <w:p w:rsidR="006D0203" w:rsidRPr="00445E04" w:rsidRDefault="006D0203" w:rsidP="006D7825">
      <w:pPr>
        <w:tabs>
          <w:tab w:val="left" w:pos="2670"/>
        </w:tabs>
        <w:spacing w:line="480" w:lineRule="auto"/>
        <w:jc w:val="center"/>
        <w:rPr>
          <w:rFonts w:ascii="Times New Roman" w:hAnsi="Times New Roman" w:cs="Times New Roman"/>
          <w:b/>
          <w:sz w:val="24"/>
          <w:szCs w:val="24"/>
        </w:rPr>
      </w:pPr>
    </w:p>
    <w:p w:rsidR="00626A3A" w:rsidRPr="00445E04" w:rsidRDefault="00626A3A" w:rsidP="006D7825">
      <w:pPr>
        <w:tabs>
          <w:tab w:val="left" w:pos="2670"/>
        </w:tabs>
        <w:spacing w:line="480" w:lineRule="auto"/>
        <w:jc w:val="center"/>
        <w:rPr>
          <w:rFonts w:ascii="Times New Roman" w:hAnsi="Times New Roman" w:cs="Times New Roman"/>
          <w:b/>
          <w:sz w:val="24"/>
          <w:szCs w:val="24"/>
        </w:rPr>
      </w:pPr>
      <w:r w:rsidRPr="00445E04">
        <w:rPr>
          <w:rFonts w:ascii="Times New Roman" w:hAnsi="Times New Roman" w:cs="Times New Roman"/>
          <w:b/>
          <w:sz w:val="24"/>
          <w:szCs w:val="24"/>
        </w:rPr>
        <w:t>Success Factors and Risk</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Google Inc. is endowed with well-strategized financial and strategic priorities. The organization</w:t>
      </w:r>
      <w:r w:rsidR="006A513D">
        <w:rPr>
          <w:rFonts w:ascii="Times New Roman" w:hAnsi="Times New Roman" w:cs="Times New Roman"/>
          <w:sz w:val="24"/>
          <w:szCs w:val="24"/>
        </w:rPr>
        <w:t>’s</w:t>
      </w:r>
      <w:r w:rsidRPr="00445E04">
        <w:rPr>
          <w:rFonts w:ascii="Times New Roman" w:hAnsi="Times New Roman" w:cs="Times New Roman"/>
          <w:sz w:val="24"/>
          <w:szCs w:val="24"/>
        </w:rPr>
        <w:t xml:space="preserve"> management underscores the fact that Google’s fundamental success of the strategy is highly depended on critical factors which include the firm’s realistic internal view of its core competencies, Google alignment with the external settings, suitable competitiveness, in addition to careful implementation and monitoring (Google Incorporation, 2017). The company pays attention to revenue-oriented approached, such as investment. The company also aims at increasing its market share for improved sales and returns on investments.  The company also focuses on providing financial services to its customers. In my conviction, these prioritizations affect accounting procedures and business decisions in that they provide different financial entries which correlate to the firm’s investments (Germe et al., 2019). They help the business </w:t>
      </w:r>
      <w:r w:rsidRPr="00445E04">
        <w:rPr>
          <w:rFonts w:ascii="Times New Roman" w:hAnsi="Times New Roman" w:cs="Times New Roman"/>
          <w:sz w:val="24"/>
          <w:szCs w:val="24"/>
        </w:rPr>
        <w:lastRenderedPageBreak/>
        <w:t xml:space="preserve">give emphasis on the most profitable business investments. They help in choosing as well as defining which organizational endeavors needs to be complemented with additional revenue allocation for improved operation and returns as well (Google Incorporation, 2017). These financial and strategic prioritizations impact the decision through the deployment of financial assistance services to the most profitable business activities.  They help in examining which areas of operation need a supplementary budget for improved operations. They help the management to make growth-oriented business decisions. The company seeks to address risks and short versus long-term planning horizons via effective leadership with close monitoring. </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 xml:space="preserve">Google Inc. can capitalize on nonfinancial factors by carrying out a persistent business evaluation. Such as practice will allow the firm to identify its areas of strength and weaknesses. Google Inc. should conduct out fundamental market research to identify new business opportunities in the internet industry and deployed necessary resources effective utilization. Google Company, through its sales and marketing department, should access greater market share through advertising their product (Google Incorporation, 2017). Google Inc. can also develop a good brand image and maintain reputation by focusing on offering quality and reliable products to customers. The company should also assess its performance by examining the customer’s reviews attached to its goods and services and take the initiative to improve its operation. Google should also aim at recruiting qualified employees who can meet both the goals of the organization and the needs of customers. It is worth to note that nonfinancial factors are the backbones of every effective and successful business, and hence, every business must pose growing attention. </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 xml:space="preserve">Google Company is subject to varied internal risks, which poses a threat to the company’s financial performance.  Google’s essential internal risks of financial performance </w:t>
      </w:r>
      <w:r w:rsidRPr="00445E04">
        <w:rPr>
          <w:rFonts w:ascii="Times New Roman" w:hAnsi="Times New Roman" w:cs="Times New Roman"/>
          <w:sz w:val="24"/>
          <w:szCs w:val="24"/>
        </w:rPr>
        <w:lastRenderedPageBreak/>
        <w:t xml:space="preserve">include liquidity ratios. This refers to the company’s inability to meet both short-term and long term financial obligations due to the lack of adequate capital. Herein the Google Company should ensure proper capital management (Google Incorporation, 2017). Recruiting qualified financing personnel would help in making proper auditing and hence paving the way for improved financial management. Google Company also </w:t>
      </w:r>
      <w:r w:rsidR="000E71FE" w:rsidRPr="00445E04">
        <w:rPr>
          <w:rFonts w:ascii="Times New Roman" w:hAnsi="Times New Roman" w:cs="Times New Roman"/>
          <w:sz w:val="24"/>
          <w:szCs w:val="24"/>
        </w:rPr>
        <w:t>pays</w:t>
      </w:r>
      <w:r w:rsidRPr="00445E04">
        <w:rPr>
          <w:rFonts w:ascii="Times New Roman" w:hAnsi="Times New Roman" w:cs="Times New Roman"/>
          <w:sz w:val="24"/>
          <w:szCs w:val="24"/>
        </w:rPr>
        <w:t xml:space="preserve"> attention to the leverage ratios, which included assessing the company’s internal policies on the usage of debt in addition to the mixed equity and debt in its capitals structure. Another internal risk is profitability ratio, which includes location assessment and marketing effectiveness in the entire business. These aspects in Google company paves the way for internal changes such as training needs, regulatory compliance, and rental and maintenance rates, all which requires adequate financial allotments and persistent supervision to ensure that the best product comes from them (Google Incorporation, 2017).  In addition, rates of return within the company need to be assessed through assessing competitive environment, which can lead to a loss of highly talented employees, management capability, in addition to its internal procedures. Also, the company should pay attention to technological changes in the internet industry and the implications of cybercrime to the company endeavors regarding unauthorized access to the company information.</w:t>
      </w:r>
    </w:p>
    <w:p w:rsidR="00626A3A" w:rsidRPr="00445E04" w:rsidRDefault="00626A3A" w:rsidP="006D7825">
      <w:pPr>
        <w:tabs>
          <w:tab w:val="left" w:pos="2670"/>
        </w:tabs>
        <w:spacing w:line="480" w:lineRule="auto"/>
        <w:jc w:val="center"/>
        <w:rPr>
          <w:rFonts w:ascii="Times New Roman" w:hAnsi="Times New Roman" w:cs="Times New Roman"/>
          <w:b/>
          <w:sz w:val="24"/>
          <w:szCs w:val="24"/>
        </w:rPr>
      </w:pPr>
      <w:r w:rsidRPr="00445E04">
        <w:rPr>
          <w:rFonts w:ascii="Times New Roman" w:hAnsi="Times New Roman" w:cs="Times New Roman"/>
          <w:b/>
          <w:sz w:val="24"/>
          <w:szCs w:val="24"/>
        </w:rPr>
        <w:t>Projections</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 xml:space="preserve">Google Inc. has had a positive trend in annual financial reports for the past three years and observed in its financial returns.  Google Company has experienced a steady increase in its financial performance in the past three years, and hence it is my anticipation that Google will record increase revenues due to the increased rate of globalization (Spuchlakova et al., 2017).   Herein, the internet of things has depicted growing demand for Google goods and services such </w:t>
      </w:r>
      <w:r w:rsidRPr="00445E04">
        <w:rPr>
          <w:rFonts w:ascii="Times New Roman" w:hAnsi="Times New Roman" w:cs="Times New Roman"/>
          <w:sz w:val="24"/>
          <w:szCs w:val="24"/>
        </w:rPr>
        <w:lastRenderedPageBreak/>
        <w:t xml:space="preserve">as Web Search and technology and intelligence services. These aspects are mandated to increase a hopeful increase in revenue by approximately 25% in the next financial year. Google’s finance is expected to keep on increasing revenue in the United States and the global market as well, for the next three years (Google Incorporation, 2017). The projected increase in revenue is evident in from the financial performance of which the financial year 2017/2018 had an increase in the operational cost by 30.64%. Further, the gross profit for the three years also showed a rising trend with 2018, recording the highest at $77270000, whereas 2016 reported the lowest value at $55134000 (Google Incorporation, 2017). Assumedly, Google is expected to gain about 7-15% of its average financial performance in the next three years, making Google Inc. to remain a global leader in both internet </w:t>
      </w:r>
      <w:r w:rsidR="006A513D" w:rsidRPr="00445E04">
        <w:rPr>
          <w:rFonts w:ascii="Times New Roman" w:hAnsi="Times New Roman" w:cs="Times New Roman"/>
          <w:sz w:val="24"/>
          <w:szCs w:val="24"/>
        </w:rPr>
        <w:t>industries</w:t>
      </w:r>
      <w:r w:rsidRPr="00445E04">
        <w:rPr>
          <w:rFonts w:ascii="Times New Roman" w:hAnsi="Times New Roman" w:cs="Times New Roman"/>
          <w:sz w:val="24"/>
          <w:szCs w:val="24"/>
        </w:rPr>
        <w:t>.</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 xml:space="preserve">The best-case scenario of Google Inc. financial performance is that </w:t>
      </w:r>
      <w:r w:rsidR="006A513D">
        <w:rPr>
          <w:rFonts w:ascii="Times New Roman" w:hAnsi="Times New Roman" w:cs="Times New Roman"/>
          <w:sz w:val="24"/>
          <w:szCs w:val="24"/>
        </w:rPr>
        <w:t xml:space="preserve">it </w:t>
      </w:r>
      <w:r w:rsidRPr="00445E04">
        <w:rPr>
          <w:rFonts w:ascii="Times New Roman" w:hAnsi="Times New Roman" w:cs="Times New Roman"/>
          <w:sz w:val="24"/>
          <w:szCs w:val="24"/>
        </w:rPr>
        <w:t>will maintain its dominance in the global internet industry by providing highly reputable and reliabl</w:t>
      </w:r>
      <w:r w:rsidR="006A513D">
        <w:rPr>
          <w:rFonts w:ascii="Times New Roman" w:hAnsi="Times New Roman" w:cs="Times New Roman"/>
          <w:sz w:val="24"/>
          <w:szCs w:val="24"/>
        </w:rPr>
        <w:t>e goods and services which seek</w:t>
      </w:r>
      <w:r w:rsidRPr="00445E04">
        <w:rPr>
          <w:rFonts w:ascii="Times New Roman" w:hAnsi="Times New Roman" w:cs="Times New Roman"/>
          <w:sz w:val="24"/>
          <w:szCs w:val="24"/>
        </w:rPr>
        <w:t xml:space="preserve"> to accomplish both firm’s goals and the needs of customers as well. Herein, both domestic and global markets are likely to contribute up to 15% increase in financial performance in the next three years. However, this chang</w:t>
      </w:r>
      <w:r w:rsidR="006A513D">
        <w:rPr>
          <w:rFonts w:ascii="Times New Roman" w:hAnsi="Times New Roman" w:cs="Times New Roman"/>
          <w:sz w:val="24"/>
          <w:szCs w:val="24"/>
        </w:rPr>
        <w:t>e will be noted if</w:t>
      </w:r>
      <w:r w:rsidRPr="00445E04">
        <w:rPr>
          <w:rFonts w:ascii="Times New Roman" w:hAnsi="Times New Roman" w:cs="Times New Roman"/>
          <w:sz w:val="24"/>
          <w:szCs w:val="24"/>
        </w:rPr>
        <w:t xml:space="preserve"> the management is focused on expanding the firm’s core operations (New </w:t>
      </w:r>
      <w:r w:rsidR="000E71FE" w:rsidRPr="00445E04">
        <w:rPr>
          <w:rFonts w:ascii="Times New Roman" w:hAnsi="Times New Roman" w:cs="Times New Roman"/>
          <w:sz w:val="24"/>
          <w:szCs w:val="24"/>
        </w:rPr>
        <w:t>York</w:t>
      </w:r>
      <w:r w:rsidRPr="00445E04">
        <w:rPr>
          <w:rFonts w:ascii="Times New Roman" w:hAnsi="Times New Roman" w:cs="Times New Roman"/>
          <w:sz w:val="24"/>
          <w:szCs w:val="24"/>
        </w:rPr>
        <w:t xml:space="preserve"> stock exchange market, 2019). If all operations are well managed, the company stands a chance t</w:t>
      </w:r>
      <w:r w:rsidR="006D7825" w:rsidRPr="00445E04">
        <w:rPr>
          <w:rFonts w:ascii="Times New Roman" w:hAnsi="Times New Roman" w:cs="Times New Roman"/>
          <w:sz w:val="24"/>
          <w:szCs w:val="24"/>
        </w:rPr>
        <w:t xml:space="preserve">o make </w:t>
      </w:r>
      <w:r w:rsidR="006A513D" w:rsidRPr="00445E04">
        <w:rPr>
          <w:rFonts w:ascii="Times New Roman" w:hAnsi="Times New Roman" w:cs="Times New Roman"/>
          <w:sz w:val="24"/>
          <w:szCs w:val="24"/>
        </w:rPr>
        <w:t>growth</w:t>
      </w:r>
      <w:r w:rsidR="006D7825" w:rsidRPr="00445E04">
        <w:rPr>
          <w:rFonts w:ascii="Times New Roman" w:hAnsi="Times New Roman" w:cs="Times New Roman"/>
          <w:sz w:val="24"/>
          <w:szCs w:val="24"/>
        </w:rPr>
        <w:t xml:space="preserve"> revenue up to $14</w:t>
      </w:r>
      <w:r w:rsidRPr="00445E04">
        <w:rPr>
          <w:rFonts w:ascii="Times New Roman" w:hAnsi="Times New Roman" w:cs="Times New Roman"/>
          <w:sz w:val="24"/>
          <w:szCs w:val="24"/>
        </w:rPr>
        <w:t>0 billion by 2022. The worst-case scenario is likely to occur when the firm is not able to establish and maintain its brand more appropriately in the digitalized world due to the mushrooming global services. The company will be faced with stiff competition and hence recording increasingly reduced returns in the short-run.</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 xml:space="preserve">In relation to the estimated projection, I believe that the outlined projections are not overly aggressive, but they are very attainable, by </w:t>
      </w:r>
      <w:r w:rsidR="006D7825" w:rsidRPr="00445E04">
        <w:rPr>
          <w:rFonts w:ascii="Times New Roman" w:hAnsi="Times New Roman" w:cs="Times New Roman"/>
          <w:sz w:val="24"/>
          <w:szCs w:val="24"/>
        </w:rPr>
        <w:t>Google</w:t>
      </w:r>
      <w:r w:rsidRPr="00445E04">
        <w:rPr>
          <w:rFonts w:ascii="Times New Roman" w:hAnsi="Times New Roman" w:cs="Times New Roman"/>
          <w:sz w:val="24"/>
          <w:szCs w:val="24"/>
        </w:rPr>
        <w:t xml:space="preserve"> Inc.’s ambition to grow as well as </w:t>
      </w:r>
      <w:r w:rsidRPr="00445E04">
        <w:rPr>
          <w:rFonts w:ascii="Times New Roman" w:hAnsi="Times New Roman" w:cs="Times New Roman"/>
          <w:sz w:val="24"/>
          <w:szCs w:val="24"/>
        </w:rPr>
        <w:lastRenderedPageBreak/>
        <w:t xml:space="preserve">expand their stipulated performance lines and hence recording improved financial returns. These projections are likely to be modest by serving as the most appropriate and immediate goals which the company can attain in the long-run. By attaining these services, the assumptions mentioned above will possibly stimulate Google’s dominance in the global penetration. </w:t>
      </w:r>
      <w:r w:rsidR="006A513D">
        <w:rPr>
          <w:rFonts w:ascii="Times New Roman" w:hAnsi="Times New Roman" w:cs="Times New Roman"/>
          <w:sz w:val="24"/>
          <w:szCs w:val="24"/>
        </w:rPr>
        <w:t>C</w:t>
      </w:r>
      <w:r w:rsidRPr="00445E04">
        <w:rPr>
          <w:rFonts w:ascii="Times New Roman" w:hAnsi="Times New Roman" w:cs="Times New Roman"/>
          <w:sz w:val="24"/>
          <w:szCs w:val="24"/>
        </w:rPr>
        <w:t>hanging these financial projections may lead to reduced commitment in company objectives as a result of</w:t>
      </w:r>
      <w:r w:rsidR="006A513D">
        <w:rPr>
          <w:rFonts w:ascii="Times New Roman" w:hAnsi="Times New Roman" w:cs="Times New Roman"/>
          <w:sz w:val="24"/>
          <w:szCs w:val="24"/>
        </w:rPr>
        <w:t xml:space="preserve"> easily achievable projections (</w:t>
      </w:r>
      <w:r w:rsidR="006A513D" w:rsidRPr="00445E04">
        <w:rPr>
          <w:rFonts w:ascii="Times New Roman" w:hAnsi="Times New Roman" w:cs="Times New Roman"/>
          <w:sz w:val="24"/>
          <w:szCs w:val="24"/>
        </w:rPr>
        <w:t>Amy,</w:t>
      </w:r>
      <w:r w:rsidR="006A513D">
        <w:rPr>
          <w:rFonts w:ascii="Times New Roman" w:hAnsi="Times New Roman" w:cs="Times New Roman"/>
          <w:sz w:val="24"/>
          <w:szCs w:val="24"/>
        </w:rPr>
        <w:t xml:space="preserve"> 2019)</w:t>
      </w:r>
      <w:r w:rsidR="006A513D" w:rsidRPr="00445E04">
        <w:rPr>
          <w:rFonts w:ascii="Times New Roman" w:hAnsi="Times New Roman" w:cs="Times New Roman"/>
          <w:sz w:val="24"/>
          <w:szCs w:val="24"/>
        </w:rPr>
        <w:t>.</w:t>
      </w:r>
    </w:p>
    <w:p w:rsidR="00626A3A" w:rsidRPr="00445E04" w:rsidRDefault="00626A3A" w:rsidP="0066113C">
      <w:pPr>
        <w:tabs>
          <w:tab w:val="left" w:pos="2670"/>
        </w:tabs>
        <w:spacing w:line="480" w:lineRule="auto"/>
        <w:jc w:val="center"/>
        <w:rPr>
          <w:rFonts w:ascii="Times New Roman" w:hAnsi="Times New Roman" w:cs="Times New Roman"/>
          <w:b/>
          <w:sz w:val="24"/>
          <w:szCs w:val="24"/>
        </w:rPr>
      </w:pPr>
      <w:r w:rsidRPr="00445E04">
        <w:rPr>
          <w:rFonts w:ascii="Times New Roman" w:hAnsi="Times New Roman" w:cs="Times New Roman"/>
          <w:b/>
          <w:sz w:val="24"/>
          <w:szCs w:val="24"/>
        </w:rPr>
        <w:t>Business Opportunities</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Google Inc.’s has a good and well-performing organizational structure with a good management team</w:t>
      </w:r>
      <w:r w:rsidR="006A513D" w:rsidRPr="006A513D">
        <w:rPr>
          <w:rFonts w:ascii="Times New Roman" w:hAnsi="Times New Roman" w:cs="Times New Roman"/>
          <w:sz w:val="24"/>
          <w:szCs w:val="24"/>
        </w:rPr>
        <w:t xml:space="preserve"> </w:t>
      </w:r>
      <w:r w:rsidR="006A513D">
        <w:rPr>
          <w:rFonts w:ascii="Times New Roman" w:hAnsi="Times New Roman" w:cs="Times New Roman"/>
          <w:sz w:val="24"/>
          <w:szCs w:val="24"/>
        </w:rPr>
        <w:t>(</w:t>
      </w:r>
      <w:r w:rsidR="006A513D" w:rsidRPr="00445E04">
        <w:rPr>
          <w:rFonts w:ascii="Times New Roman" w:hAnsi="Times New Roman" w:cs="Times New Roman"/>
          <w:sz w:val="24"/>
          <w:szCs w:val="24"/>
        </w:rPr>
        <w:t>Amy,</w:t>
      </w:r>
      <w:r w:rsidR="006A513D">
        <w:rPr>
          <w:rFonts w:ascii="Times New Roman" w:hAnsi="Times New Roman" w:cs="Times New Roman"/>
          <w:sz w:val="24"/>
          <w:szCs w:val="24"/>
        </w:rPr>
        <w:t xml:space="preserve"> 2019)</w:t>
      </w:r>
      <w:r w:rsidRPr="00445E04">
        <w:rPr>
          <w:rFonts w:ascii="Times New Roman" w:hAnsi="Times New Roman" w:cs="Times New Roman"/>
          <w:sz w:val="24"/>
          <w:szCs w:val="24"/>
        </w:rPr>
        <w:t>. The company has been able to maximize the provision of goods and services to its good and reliable customers. The company should show attention to its chief business opportunities for growth and efficien</w:t>
      </w:r>
      <w:r w:rsidR="006A513D">
        <w:rPr>
          <w:rFonts w:ascii="Times New Roman" w:hAnsi="Times New Roman" w:cs="Times New Roman"/>
          <w:sz w:val="24"/>
          <w:szCs w:val="24"/>
        </w:rPr>
        <w:t>cy. Google Inc. is required</w:t>
      </w:r>
      <w:r w:rsidRPr="00445E04">
        <w:rPr>
          <w:rFonts w:ascii="Times New Roman" w:hAnsi="Times New Roman" w:cs="Times New Roman"/>
          <w:sz w:val="24"/>
          <w:szCs w:val="24"/>
        </w:rPr>
        <w:t xml:space="preserve"> to embrac</w:t>
      </w:r>
      <w:r w:rsidR="006A513D">
        <w:rPr>
          <w:rFonts w:ascii="Times New Roman" w:hAnsi="Times New Roman" w:cs="Times New Roman"/>
          <w:sz w:val="24"/>
          <w:szCs w:val="24"/>
        </w:rPr>
        <w:t>e the aspect of globalization by</w:t>
      </w:r>
      <w:r w:rsidRPr="00445E04">
        <w:rPr>
          <w:rFonts w:ascii="Times New Roman" w:hAnsi="Times New Roman" w:cs="Times New Roman"/>
          <w:sz w:val="24"/>
          <w:szCs w:val="24"/>
        </w:rPr>
        <w:t xml:space="preserve"> providing highly amalgamated services to its customers. It should invent highly reliable advertising Ads platforms to help in hitting the set goal and other future anticip</w:t>
      </w:r>
      <w:r w:rsidR="006A513D">
        <w:rPr>
          <w:rFonts w:ascii="Times New Roman" w:hAnsi="Times New Roman" w:cs="Times New Roman"/>
          <w:sz w:val="24"/>
          <w:szCs w:val="24"/>
        </w:rPr>
        <w:t>ations. The company should focus on</w:t>
      </w:r>
      <w:r w:rsidRPr="00445E04">
        <w:rPr>
          <w:rFonts w:ascii="Times New Roman" w:hAnsi="Times New Roman" w:cs="Times New Roman"/>
          <w:sz w:val="24"/>
          <w:szCs w:val="24"/>
        </w:rPr>
        <w:t xml:space="preserve"> increasing the accessibility and availability of its good and services to the end-user. Investment in Digital services will also pave the way for reducing the cost of investment in addition to lowering the cost of operation (Google Incorporation, 2017). The main rationale for adopting this mode of investment is that Google is a world-leading company, and therefore, its goods and services should be digitalized to cope with the demands of the internet edge generations. Investing in globalized ads services depends on powerful search engines and skillful IT personnel. </w:t>
      </w:r>
    </w:p>
    <w:p w:rsidR="00626A3A"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 xml:space="preserve">Google is likely to experience a wide array of challenges in investing in global ads services because of the outstanding competition and cost of provision. Based on the aforementioned assumption, the estimated cost of investment is digitalized ads services if </w:t>
      </w:r>
      <w:r w:rsidRPr="00445E04">
        <w:rPr>
          <w:rFonts w:ascii="Times New Roman" w:hAnsi="Times New Roman" w:cs="Times New Roman"/>
          <w:sz w:val="24"/>
          <w:szCs w:val="24"/>
        </w:rPr>
        <w:lastRenderedPageBreak/>
        <w:t xml:space="preserve">USD$30 billion, a cost which is likely to shake the firm’s core financial status in the short run. The specific benefit of this investment is that it will create a great pool of customers and a means meeting customer’s demand in the world (Google Incorporation, 2017). Google will benefit from the reduced cost of advertisement to the company since its goods and services in the long run since it will be accurately displayed in the digitalized ads service apps. Google will experience a rapid increase in the number of sales, in the long run, is to increased reliability in core service provision (Winick, 2019). This investment is likely to impact the outlined spreadsheets by making great changes to the consolidated financial performance and help in making changes in business decisions such as laying out a fully effective business plan. </w:t>
      </w:r>
    </w:p>
    <w:p w:rsidR="004B32D6" w:rsidRPr="00445E04" w:rsidRDefault="00626A3A" w:rsidP="00626A3A">
      <w:pPr>
        <w:tabs>
          <w:tab w:val="left" w:pos="2670"/>
        </w:tabs>
        <w:spacing w:line="480" w:lineRule="auto"/>
        <w:ind w:firstLine="720"/>
        <w:rPr>
          <w:rFonts w:ascii="Times New Roman" w:hAnsi="Times New Roman" w:cs="Times New Roman"/>
          <w:sz w:val="24"/>
          <w:szCs w:val="24"/>
        </w:rPr>
      </w:pPr>
      <w:r w:rsidRPr="00445E04">
        <w:rPr>
          <w:rFonts w:ascii="Times New Roman" w:hAnsi="Times New Roman" w:cs="Times New Roman"/>
          <w:sz w:val="24"/>
          <w:szCs w:val="24"/>
        </w:rPr>
        <w:t>Investment in digitalized ads service apps shares an implication that Google Inc. should review its operational budget to provide a supplementary budget for the estimated project. Also, supplementary funds are required to meet the unforeseen expenses, which might come as a result of project unfolding. Google’s potential investment will demand improved corporate management, strong business decision, and effective project management team, which will again complement the needs of the entire organization in the competitive internet service industry. There is an implication that Google should carefully focus on the provision of quality services in the industry (New York stock exchange market, 2019). The firm will be required to drop labor-intensive modes of production and cope with capital-intensive modes of operation. The investment will be featured with improved sales in the next year, and hence, a lot of concern must be deployed on how to manage resources and maximize on the outstanding opportunities for efficiency (Germe et al., 2019). Based on this potential investment, the company is likely to opt for increased spending in the short term to subscribe to mass benefits in the long-term. It is with no doubt t</w:t>
      </w:r>
      <w:r w:rsidR="006D7825" w:rsidRPr="00445E04">
        <w:rPr>
          <w:rFonts w:ascii="Times New Roman" w:hAnsi="Times New Roman" w:cs="Times New Roman"/>
          <w:sz w:val="24"/>
          <w:szCs w:val="24"/>
        </w:rPr>
        <w:t xml:space="preserve">hat the benefits of investing </w:t>
      </w:r>
      <w:r w:rsidR="006D0203" w:rsidRPr="00445E04">
        <w:rPr>
          <w:rFonts w:ascii="Times New Roman" w:hAnsi="Times New Roman" w:cs="Times New Roman"/>
          <w:sz w:val="24"/>
          <w:szCs w:val="24"/>
        </w:rPr>
        <w:t>in are</w:t>
      </w:r>
      <w:r w:rsidRPr="00445E04">
        <w:rPr>
          <w:rFonts w:ascii="Times New Roman" w:hAnsi="Times New Roman" w:cs="Times New Roman"/>
          <w:sz w:val="24"/>
          <w:szCs w:val="24"/>
        </w:rPr>
        <w:t xml:space="preserve"> very great as opposed to risks.</w:t>
      </w:r>
    </w:p>
    <w:p w:rsidR="006D7825" w:rsidRPr="00445E04" w:rsidRDefault="00E02B45" w:rsidP="006D7825">
      <w:pPr>
        <w:tabs>
          <w:tab w:val="left" w:pos="2670"/>
        </w:tabs>
        <w:spacing w:line="480" w:lineRule="auto"/>
        <w:jc w:val="center"/>
        <w:rPr>
          <w:rFonts w:ascii="Times New Roman" w:hAnsi="Times New Roman" w:cs="Times New Roman"/>
          <w:sz w:val="24"/>
          <w:szCs w:val="24"/>
        </w:rPr>
      </w:pPr>
      <w:r w:rsidRPr="00445E04">
        <w:rPr>
          <w:rFonts w:ascii="Times New Roman" w:hAnsi="Times New Roman" w:cs="Times New Roman"/>
          <w:sz w:val="24"/>
          <w:szCs w:val="24"/>
        </w:rPr>
        <w:lastRenderedPageBreak/>
        <w:t>References</w:t>
      </w:r>
    </w:p>
    <w:p w:rsidR="00445E04" w:rsidRPr="00445E04" w:rsidRDefault="00445E04" w:rsidP="00445E04">
      <w:pPr>
        <w:tabs>
          <w:tab w:val="left" w:pos="2670"/>
        </w:tabs>
        <w:spacing w:line="480" w:lineRule="auto"/>
        <w:ind w:left="720" w:hanging="720"/>
        <w:rPr>
          <w:rFonts w:ascii="Times New Roman" w:hAnsi="Times New Roman" w:cs="Times New Roman"/>
          <w:sz w:val="24"/>
          <w:szCs w:val="24"/>
        </w:rPr>
      </w:pPr>
      <w:r w:rsidRPr="00445E04">
        <w:rPr>
          <w:rFonts w:ascii="Times New Roman" w:hAnsi="Times New Roman" w:cs="Times New Roman"/>
          <w:sz w:val="24"/>
          <w:szCs w:val="24"/>
        </w:rPr>
        <w:t>Amy, S. (2013). Google Incorporation.: Competitive Landscape. Hoovers. Retrieved fromhttp://subscriber.hoovers.com</w:t>
      </w:r>
    </w:p>
    <w:p w:rsidR="006D7825" w:rsidRPr="00445E04" w:rsidRDefault="006D7825" w:rsidP="006D7825">
      <w:pPr>
        <w:tabs>
          <w:tab w:val="left" w:pos="2670"/>
        </w:tabs>
        <w:spacing w:line="480" w:lineRule="auto"/>
        <w:ind w:left="720" w:hanging="720"/>
        <w:rPr>
          <w:rFonts w:ascii="Times New Roman" w:hAnsi="Times New Roman" w:cs="Times New Roman"/>
          <w:color w:val="222222"/>
          <w:sz w:val="24"/>
          <w:szCs w:val="24"/>
          <w:shd w:val="clear" w:color="auto" w:fill="FFFFFF"/>
        </w:rPr>
      </w:pPr>
      <w:r w:rsidRPr="00445E04">
        <w:rPr>
          <w:rFonts w:ascii="Times New Roman" w:hAnsi="Times New Roman" w:cs="Times New Roman"/>
          <w:color w:val="222222"/>
          <w:sz w:val="24"/>
          <w:szCs w:val="24"/>
          <w:shd w:val="clear" w:color="auto" w:fill="FFFFFF"/>
        </w:rPr>
        <w:t xml:space="preserve">Germe, G. D. L., Dong, W. R., Goulden, J. E., Mittleman, A. D., Webb, N., &amp; Shih, P. (2019). Magnetic mount assembly of a camera. </w:t>
      </w:r>
      <w:r w:rsidRPr="00445E04">
        <w:rPr>
          <w:rFonts w:ascii="Times New Roman" w:hAnsi="Times New Roman" w:cs="Times New Roman"/>
          <w:i/>
          <w:iCs/>
          <w:color w:val="222222"/>
          <w:sz w:val="24"/>
          <w:szCs w:val="24"/>
          <w:shd w:val="clear" w:color="auto" w:fill="FFFFFF"/>
        </w:rPr>
        <w:t>U.S. Patent Application No. 10/250,783</w:t>
      </w:r>
      <w:r w:rsidRPr="00445E04">
        <w:rPr>
          <w:rFonts w:ascii="Times New Roman" w:hAnsi="Times New Roman" w:cs="Times New Roman"/>
          <w:color w:val="222222"/>
          <w:sz w:val="24"/>
          <w:szCs w:val="24"/>
          <w:shd w:val="clear" w:color="auto" w:fill="FFFFFF"/>
        </w:rPr>
        <w:t>.</w:t>
      </w:r>
    </w:p>
    <w:p w:rsidR="006D7825" w:rsidRPr="00445E04" w:rsidRDefault="006D7825" w:rsidP="006D7825">
      <w:pPr>
        <w:tabs>
          <w:tab w:val="left" w:pos="2670"/>
        </w:tabs>
        <w:spacing w:line="480" w:lineRule="auto"/>
        <w:ind w:left="720" w:hanging="720"/>
        <w:rPr>
          <w:rFonts w:ascii="Times New Roman" w:hAnsi="Times New Roman" w:cs="Times New Roman"/>
          <w:sz w:val="24"/>
          <w:szCs w:val="24"/>
        </w:rPr>
      </w:pPr>
      <w:r w:rsidRPr="00445E04">
        <w:rPr>
          <w:rFonts w:ascii="Times New Roman" w:hAnsi="Times New Roman" w:cs="Times New Roman"/>
          <w:sz w:val="24"/>
          <w:szCs w:val="24"/>
        </w:rPr>
        <w:t xml:space="preserve">Google Incorporation. (2017). </w:t>
      </w:r>
      <w:r w:rsidRPr="00445E04">
        <w:rPr>
          <w:rFonts w:ascii="Times New Roman" w:hAnsi="Times New Roman" w:cs="Times New Roman"/>
          <w:i/>
          <w:sz w:val="24"/>
          <w:szCs w:val="24"/>
        </w:rPr>
        <w:t>Annual Financial Report</w:t>
      </w:r>
      <w:r w:rsidRPr="00445E04">
        <w:rPr>
          <w:rFonts w:ascii="Times New Roman" w:hAnsi="Times New Roman" w:cs="Times New Roman"/>
          <w:sz w:val="24"/>
          <w:szCs w:val="24"/>
        </w:rPr>
        <w:t>. Mountain View: Google Incorporation</w:t>
      </w:r>
    </w:p>
    <w:p w:rsidR="006D7825" w:rsidRPr="00445E04" w:rsidRDefault="006D7825" w:rsidP="006D7825">
      <w:pPr>
        <w:tabs>
          <w:tab w:val="left" w:pos="2670"/>
        </w:tabs>
        <w:spacing w:line="480" w:lineRule="auto"/>
        <w:ind w:left="720" w:hanging="720"/>
        <w:rPr>
          <w:rFonts w:ascii="Times New Roman" w:hAnsi="Times New Roman" w:cs="Times New Roman"/>
          <w:sz w:val="24"/>
          <w:szCs w:val="24"/>
        </w:rPr>
      </w:pPr>
      <w:r w:rsidRPr="00445E04">
        <w:rPr>
          <w:rFonts w:ascii="Times New Roman" w:hAnsi="Times New Roman" w:cs="Times New Roman"/>
          <w:color w:val="222222"/>
          <w:sz w:val="24"/>
          <w:szCs w:val="24"/>
          <w:shd w:val="clear" w:color="auto" w:fill="FFFFFF"/>
        </w:rPr>
        <w:t>Spuchlakova, E., Zvarikova, K., &amp; Kliestik, T. (2017, July). Some Remarks on the Quantification of the Company Financial Health. In </w:t>
      </w:r>
      <w:r w:rsidRPr="00445E04">
        <w:rPr>
          <w:rFonts w:ascii="Times New Roman" w:hAnsi="Times New Roman" w:cs="Times New Roman"/>
          <w:i/>
          <w:iCs/>
          <w:color w:val="222222"/>
          <w:sz w:val="24"/>
          <w:szCs w:val="24"/>
          <w:shd w:val="clear" w:color="auto" w:fill="FFFFFF"/>
        </w:rPr>
        <w:t>International Conference on Applied Economics</w:t>
      </w:r>
      <w:r w:rsidRPr="00445E04">
        <w:rPr>
          <w:rFonts w:ascii="Times New Roman" w:hAnsi="Times New Roman" w:cs="Times New Roman"/>
          <w:color w:val="222222"/>
          <w:sz w:val="24"/>
          <w:szCs w:val="24"/>
          <w:shd w:val="clear" w:color="auto" w:fill="FFFFFF"/>
        </w:rPr>
        <w:t> (pp. 563-572). Springer, Cham.</w:t>
      </w:r>
    </w:p>
    <w:p w:rsidR="006D7825" w:rsidRPr="00445E04" w:rsidRDefault="006D7825" w:rsidP="006D7825">
      <w:pPr>
        <w:tabs>
          <w:tab w:val="left" w:pos="2670"/>
        </w:tabs>
        <w:spacing w:line="480" w:lineRule="auto"/>
        <w:ind w:left="720" w:hanging="720"/>
        <w:rPr>
          <w:rFonts w:ascii="Times New Roman" w:hAnsi="Times New Roman" w:cs="Times New Roman"/>
          <w:color w:val="222222"/>
          <w:sz w:val="24"/>
          <w:szCs w:val="24"/>
          <w:shd w:val="clear" w:color="auto" w:fill="FFFFFF"/>
        </w:rPr>
      </w:pPr>
      <w:r w:rsidRPr="00445E04">
        <w:rPr>
          <w:rFonts w:ascii="Times New Roman" w:hAnsi="Times New Roman" w:cs="Times New Roman"/>
          <w:color w:val="222222"/>
          <w:sz w:val="24"/>
          <w:szCs w:val="24"/>
          <w:shd w:val="clear" w:color="auto" w:fill="FFFFFF"/>
        </w:rPr>
        <w:t xml:space="preserve">Winick, K. (2019). Pioneering Workplace Financial Wellness. Sagepub. </w:t>
      </w:r>
    </w:p>
    <w:p w:rsidR="00E02B45" w:rsidRPr="00445E04" w:rsidRDefault="00E02B45" w:rsidP="006D7825">
      <w:pPr>
        <w:tabs>
          <w:tab w:val="left" w:pos="2670"/>
        </w:tabs>
        <w:spacing w:line="480" w:lineRule="auto"/>
        <w:ind w:left="720" w:hanging="720"/>
        <w:rPr>
          <w:rFonts w:ascii="Times New Roman" w:hAnsi="Times New Roman" w:cs="Times New Roman"/>
          <w:sz w:val="24"/>
          <w:szCs w:val="24"/>
        </w:rPr>
      </w:pPr>
      <w:r w:rsidRPr="00445E04">
        <w:rPr>
          <w:rFonts w:ascii="Times New Roman" w:hAnsi="Times New Roman" w:cs="Times New Roman"/>
          <w:noProof/>
          <w:sz w:val="24"/>
          <w:szCs w:val="24"/>
        </w:rPr>
        <w:t xml:space="preserve">New york stock excahange market. (2019, July 8). </w:t>
      </w:r>
      <w:r w:rsidRPr="00445E04">
        <w:rPr>
          <w:rFonts w:ascii="Times New Roman" w:hAnsi="Times New Roman" w:cs="Times New Roman"/>
          <w:i/>
          <w:iCs/>
          <w:noProof/>
          <w:sz w:val="24"/>
          <w:szCs w:val="24"/>
        </w:rPr>
        <w:t>New York Stock Exchange Market (NASDAQ)</w:t>
      </w:r>
      <w:r w:rsidRPr="00445E04">
        <w:rPr>
          <w:rFonts w:ascii="Times New Roman" w:hAnsi="Times New Roman" w:cs="Times New Roman"/>
          <w:noProof/>
          <w:sz w:val="24"/>
          <w:szCs w:val="24"/>
        </w:rPr>
        <w:t xml:space="preserve">. Retrieved from </w:t>
      </w:r>
      <w:hyperlink r:id="rId15" w:history="1">
        <w:r w:rsidR="00FD3A8E" w:rsidRPr="00445E04">
          <w:rPr>
            <w:rStyle w:val="Hyperlink"/>
            <w:rFonts w:ascii="Times New Roman" w:hAnsi="Times New Roman" w:cs="Times New Roman"/>
            <w:noProof/>
            <w:sz w:val="24"/>
            <w:szCs w:val="24"/>
          </w:rPr>
          <w:t>https://www.stock-analysis-on.net/NASDAQ/</w:t>
        </w:r>
      </w:hyperlink>
    </w:p>
    <w:p w:rsidR="00E02B45" w:rsidRPr="00445E04" w:rsidRDefault="00E02B45" w:rsidP="00626A3A">
      <w:pPr>
        <w:tabs>
          <w:tab w:val="left" w:pos="2670"/>
        </w:tabs>
        <w:spacing w:line="480" w:lineRule="auto"/>
        <w:rPr>
          <w:rFonts w:ascii="Times New Roman" w:hAnsi="Times New Roman" w:cs="Times New Roman"/>
          <w:color w:val="222222"/>
          <w:sz w:val="24"/>
          <w:szCs w:val="24"/>
          <w:shd w:val="clear" w:color="auto" w:fill="FFFFFF"/>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p>
    <w:p w:rsidR="00E345B3" w:rsidRPr="00445E04" w:rsidRDefault="00E345B3" w:rsidP="006D0203">
      <w:pPr>
        <w:spacing w:line="480" w:lineRule="auto"/>
        <w:ind w:left="720" w:hanging="720"/>
        <w:jc w:val="center"/>
        <w:rPr>
          <w:rFonts w:ascii="Times New Roman" w:hAnsi="Times New Roman" w:cs="Times New Roman"/>
          <w:color w:val="222222"/>
          <w:sz w:val="24"/>
          <w:szCs w:val="24"/>
          <w:shd w:val="clear" w:color="auto" w:fill="FFFFFF"/>
        </w:rPr>
      </w:pPr>
    </w:p>
    <w:p w:rsidR="00E345B3" w:rsidRPr="00445E04" w:rsidRDefault="00E345B3" w:rsidP="006D0203">
      <w:pPr>
        <w:spacing w:line="480" w:lineRule="auto"/>
        <w:ind w:left="720" w:hanging="720"/>
        <w:jc w:val="center"/>
        <w:rPr>
          <w:rFonts w:ascii="Times New Roman" w:hAnsi="Times New Roman" w:cs="Times New Roman"/>
          <w:color w:val="222222"/>
          <w:sz w:val="24"/>
          <w:szCs w:val="24"/>
          <w:shd w:val="clear" w:color="auto" w:fill="FFFFFF"/>
        </w:rPr>
      </w:pPr>
    </w:p>
    <w:p w:rsidR="006D0203" w:rsidRPr="00445E04" w:rsidRDefault="006D0203" w:rsidP="006D0203">
      <w:pPr>
        <w:spacing w:line="480" w:lineRule="auto"/>
        <w:ind w:left="720" w:hanging="720"/>
        <w:jc w:val="center"/>
        <w:rPr>
          <w:rFonts w:ascii="Times New Roman" w:hAnsi="Times New Roman" w:cs="Times New Roman"/>
          <w:color w:val="222222"/>
          <w:sz w:val="24"/>
          <w:szCs w:val="24"/>
          <w:shd w:val="clear" w:color="auto" w:fill="FFFFFF"/>
        </w:rPr>
      </w:pPr>
      <w:r w:rsidRPr="00445E04">
        <w:rPr>
          <w:rFonts w:ascii="Times New Roman" w:hAnsi="Times New Roman" w:cs="Times New Roman"/>
          <w:color w:val="222222"/>
          <w:sz w:val="24"/>
          <w:szCs w:val="24"/>
          <w:shd w:val="clear" w:color="auto" w:fill="FFFFFF"/>
        </w:rPr>
        <w:t>Appendix</w:t>
      </w: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r w:rsidRPr="00445E04">
        <w:rPr>
          <w:rFonts w:ascii="Times New Roman" w:hAnsi="Times New Roman" w:cs="Times New Roman"/>
          <w:noProof/>
          <w:color w:val="000000" w:themeColor="text1"/>
          <w:sz w:val="24"/>
          <w:szCs w:val="24"/>
        </w:rPr>
        <w:drawing>
          <wp:inline distT="0" distB="0" distL="0" distR="0">
            <wp:extent cx="4572000" cy="249555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D0203" w:rsidRPr="00445E04" w:rsidRDefault="006D0203" w:rsidP="006D0203">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4572000" cy="27432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602D6" w:rsidRPr="00445E04" w:rsidRDefault="008602D6" w:rsidP="008602D6">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from Operating Activities.</w:t>
      </w:r>
    </w:p>
    <w:p w:rsidR="008602D6" w:rsidRPr="00445E04" w:rsidRDefault="008602D6" w:rsidP="008602D6">
      <w:pPr>
        <w:pStyle w:val="Title2"/>
        <w:spacing w:before="100" w:beforeAutospacing="1" w:after="100" w:afterAutospacing="1"/>
        <w:ind w:firstLine="720"/>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lastRenderedPageBreak/>
        <w:drawing>
          <wp:inline distT="0" distB="0" distL="0" distR="0">
            <wp:extent cx="5943600" cy="27082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708275"/>
                    </a:xfrm>
                    <a:prstGeom prst="rect">
                      <a:avLst/>
                    </a:prstGeom>
                  </pic:spPr>
                </pic:pic>
              </a:graphicData>
            </a:graphic>
          </wp:inline>
        </w:drawing>
      </w:r>
    </w:p>
    <w:p w:rsidR="008602D6" w:rsidRPr="00445E04" w:rsidRDefault="008602D6" w:rsidP="008602D6">
      <w:pPr>
        <w:pStyle w:val="Title2"/>
        <w:spacing w:before="100" w:beforeAutospacing="1" w:after="100" w:afterAutospacing="1"/>
        <w:contextualSpacing/>
        <w:rPr>
          <w:rFonts w:ascii="Times New Roman" w:hAnsi="Times New Roman" w:cs="Times New Roman"/>
          <w:b/>
          <w:i/>
          <w:color w:val="000000" w:themeColor="text1"/>
        </w:rPr>
      </w:pPr>
    </w:p>
    <w:p w:rsidR="008602D6" w:rsidRPr="00445E04" w:rsidRDefault="008602D6" w:rsidP="008602D6">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from financing activities</w:t>
      </w:r>
    </w:p>
    <w:p w:rsidR="008602D6" w:rsidRPr="00445E04" w:rsidRDefault="008602D6" w:rsidP="008602D6">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5934075" cy="3238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4075" cy="323850"/>
                    </a:xfrm>
                    <a:prstGeom prst="rect">
                      <a:avLst/>
                    </a:prstGeom>
                  </pic:spPr>
                </pic:pic>
              </a:graphicData>
            </a:graphic>
          </wp:inline>
        </w:drawing>
      </w:r>
    </w:p>
    <w:p w:rsidR="008602D6" w:rsidRPr="00445E04" w:rsidRDefault="008602D6" w:rsidP="008602D6">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drawing>
          <wp:inline distT="0" distB="0" distL="0" distR="0">
            <wp:extent cx="5172075" cy="2133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72075" cy="2133600"/>
                    </a:xfrm>
                    <a:prstGeom prst="rect">
                      <a:avLst/>
                    </a:prstGeom>
                  </pic:spPr>
                </pic:pic>
              </a:graphicData>
            </a:graphic>
          </wp:inline>
        </w:drawing>
      </w:r>
    </w:p>
    <w:p w:rsidR="008602D6" w:rsidRPr="00445E04" w:rsidRDefault="008602D6" w:rsidP="008602D6">
      <w:pPr>
        <w:pStyle w:val="Title2"/>
        <w:spacing w:before="100" w:beforeAutospacing="1" w:after="100" w:afterAutospacing="1"/>
        <w:contextualSpacing/>
        <w:rPr>
          <w:rFonts w:ascii="Times New Roman" w:hAnsi="Times New Roman" w:cs="Times New Roman"/>
          <w:b/>
          <w:i/>
          <w:color w:val="000000" w:themeColor="text1"/>
        </w:rPr>
      </w:pPr>
      <w:r w:rsidRPr="00445E04">
        <w:rPr>
          <w:rFonts w:ascii="Times New Roman" w:hAnsi="Times New Roman" w:cs="Times New Roman"/>
          <w:b/>
          <w:i/>
          <w:color w:val="000000" w:themeColor="text1"/>
        </w:rPr>
        <w:t>Cash from investing activities.</w:t>
      </w:r>
    </w:p>
    <w:p w:rsidR="008602D6" w:rsidRPr="00445E04" w:rsidRDefault="008602D6" w:rsidP="008602D6">
      <w:pPr>
        <w:pStyle w:val="Title2"/>
        <w:spacing w:before="100" w:beforeAutospacing="1" w:after="100" w:afterAutospacing="1"/>
        <w:contextualSpacing/>
        <w:jc w:val="left"/>
        <w:rPr>
          <w:rFonts w:ascii="Times New Roman" w:hAnsi="Times New Roman" w:cs="Times New Roman"/>
          <w:color w:val="000000" w:themeColor="text1"/>
        </w:rPr>
      </w:pPr>
      <w:r w:rsidRPr="00445E04">
        <w:rPr>
          <w:rFonts w:ascii="Times New Roman" w:hAnsi="Times New Roman" w:cs="Times New Roman"/>
          <w:noProof/>
          <w:color w:val="000000" w:themeColor="text1"/>
          <w:lang w:eastAsia="en-US"/>
        </w:rPr>
        <w:lastRenderedPageBreak/>
        <w:drawing>
          <wp:inline distT="0" distB="0" distL="0" distR="0">
            <wp:extent cx="5934075" cy="3238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34075" cy="323850"/>
                    </a:xfrm>
                    <a:prstGeom prst="rect">
                      <a:avLst/>
                    </a:prstGeom>
                  </pic:spPr>
                </pic:pic>
              </a:graphicData>
            </a:graphic>
          </wp:inline>
        </w:drawing>
      </w:r>
      <w:r w:rsidRPr="00445E04">
        <w:rPr>
          <w:rFonts w:ascii="Times New Roman" w:hAnsi="Times New Roman" w:cs="Times New Roman"/>
          <w:noProof/>
          <w:color w:val="000000" w:themeColor="text1"/>
          <w:lang w:eastAsia="en-US"/>
        </w:rPr>
        <w:drawing>
          <wp:inline distT="0" distB="0" distL="0" distR="0">
            <wp:extent cx="5943600" cy="1463675"/>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463675"/>
                    </a:xfrm>
                    <a:prstGeom prst="rect">
                      <a:avLst/>
                    </a:prstGeom>
                  </pic:spPr>
                </pic:pic>
              </a:graphicData>
            </a:graphic>
          </wp:inline>
        </w:drawing>
      </w:r>
    </w:p>
    <w:p w:rsidR="008602D6" w:rsidRPr="00445E04" w:rsidRDefault="008602D6" w:rsidP="008602D6">
      <w:pPr>
        <w:pStyle w:val="Title2"/>
        <w:spacing w:before="100" w:beforeAutospacing="1" w:after="100" w:afterAutospacing="1"/>
        <w:contextualSpacing/>
        <w:rPr>
          <w:rFonts w:ascii="Times New Roman" w:hAnsi="Times New Roman" w:cs="Times New Roman"/>
          <w:b/>
          <w:i/>
        </w:rPr>
      </w:pPr>
      <w:r w:rsidRPr="00445E04">
        <w:rPr>
          <w:rFonts w:ascii="Times New Roman" w:hAnsi="Times New Roman" w:cs="Times New Roman"/>
          <w:b/>
          <w:i/>
        </w:rPr>
        <w:t>Receivable days outstanding</w:t>
      </w:r>
    </w:p>
    <w:tbl>
      <w:tblPr>
        <w:tblW w:w="8068" w:type="dxa"/>
        <w:tblLook w:val="04A0"/>
      </w:tblPr>
      <w:tblGrid>
        <w:gridCol w:w="1840"/>
        <w:gridCol w:w="960"/>
        <w:gridCol w:w="960"/>
        <w:gridCol w:w="1116"/>
        <w:gridCol w:w="1116"/>
        <w:gridCol w:w="1116"/>
        <w:gridCol w:w="960"/>
      </w:tblGrid>
      <w:tr w:rsidR="008602D6" w:rsidRPr="00445E04" w:rsidTr="00886149">
        <w:trPr>
          <w:trHeight w:val="315"/>
        </w:trPr>
        <w:tc>
          <w:tcPr>
            <w:tcW w:w="184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2018</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2017</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2016</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2015</w:t>
            </w:r>
          </w:p>
        </w:tc>
      </w:tr>
      <w:tr w:rsidR="008602D6" w:rsidRPr="00445E04" w:rsidTr="00886149">
        <w:trPr>
          <w:trHeight w:val="300"/>
        </w:trPr>
        <w:tc>
          <w:tcPr>
            <w:tcW w:w="2800" w:type="dxa"/>
            <w:gridSpan w:val="2"/>
            <w:tcBorders>
              <w:top w:val="nil"/>
              <w:left w:val="nil"/>
              <w:bottom w:val="nil"/>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Days sales outstanding</w:t>
            </w:r>
          </w:p>
        </w:tc>
        <w:tc>
          <w:tcPr>
            <w:tcW w:w="960"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136,819</w:t>
            </w: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110,855</w:t>
            </w: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90,272</w:t>
            </w:r>
          </w:p>
        </w:tc>
        <w:tc>
          <w:tcPr>
            <w:tcW w:w="960"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74,989</w:t>
            </w:r>
          </w:p>
        </w:tc>
      </w:tr>
      <w:tr w:rsidR="008602D6" w:rsidRPr="00445E04" w:rsidTr="00886149">
        <w:trPr>
          <w:trHeight w:val="300"/>
        </w:trPr>
        <w:tc>
          <w:tcPr>
            <w:tcW w:w="2800" w:type="dxa"/>
            <w:gridSpan w:val="2"/>
            <w:tcBorders>
              <w:top w:val="nil"/>
              <w:left w:val="nil"/>
              <w:bottom w:val="nil"/>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Accounts receivable</w:t>
            </w:r>
          </w:p>
        </w:tc>
        <w:tc>
          <w:tcPr>
            <w:tcW w:w="960"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21,193</w:t>
            </w: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18,705</w:t>
            </w: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15,632</w:t>
            </w:r>
          </w:p>
        </w:tc>
        <w:tc>
          <w:tcPr>
            <w:tcW w:w="960"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13,459</w:t>
            </w:r>
          </w:p>
        </w:tc>
      </w:tr>
      <w:tr w:rsidR="008602D6" w:rsidRPr="00445E04" w:rsidTr="00886149">
        <w:trPr>
          <w:trHeight w:val="300"/>
        </w:trPr>
        <w:tc>
          <w:tcPr>
            <w:tcW w:w="2800" w:type="dxa"/>
            <w:gridSpan w:val="2"/>
            <w:tcBorders>
              <w:top w:val="nil"/>
              <w:left w:val="nil"/>
              <w:bottom w:val="nil"/>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Average accounts receivable</w:t>
            </w:r>
          </w:p>
        </w:tc>
        <w:tc>
          <w:tcPr>
            <w:tcW w:w="960"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39,898</w:t>
            </w: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17168.5</w:t>
            </w:r>
          </w:p>
        </w:tc>
        <w:tc>
          <w:tcPr>
            <w:tcW w:w="1116"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14545.5</w:t>
            </w:r>
          </w:p>
        </w:tc>
        <w:tc>
          <w:tcPr>
            <w:tcW w:w="960" w:type="dxa"/>
            <w:tcBorders>
              <w:top w:val="nil"/>
              <w:left w:val="nil"/>
              <w:bottom w:val="nil"/>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p>
        </w:tc>
      </w:tr>
      <w:tr w:rsidR="008602D6" w:rsidRPr="00445E04" w:rsidTr="00886149">
        <w:trPr>
          <w:trHeight w:val="315"/>
        </w:trPr>
        <w:tc>
          <w:tcPr>
            <w:tcW w:w="184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Total credit sales</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0.291612</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0.154873</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0.16113</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r>
      <w:tr w:rsidR="008602D6" w:rsidRPr="00445E04" w:rsidTr="00886149">
        <w:trPr>
          <w:trHeight w:val="315"/>
        </w:trPr>
        <w:tc>
          <w:tcPr>
            <w:tcW w:w="2800" w:type="dxa"/>
            <w:gridSpan w:val="2"/>
            <w:tcBorders>
              <w:top w:val="single" w:sz="8" w:space="0" w:color="auto"/>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Multiply by number of days</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106.4382</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56.52882</w:t>
            </w:r>
          </w:p>
        </w:tc>
        <w:tc>
          <w:tcPr>
            <w:tcW w:w="1116"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jc w:val="right"/>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58.81234</w:t>
            </w:r>
          </w:p>
        </w:tc>
        <w:tc>
          <w:tcPr>
            <w:tcW w:w="960" w:type="dxa"/>
            <w:tcBorders>
              <w:top w:val="nil"/>
              <w:left w:val="nil"/>
              <w:bottom w:val="single" w:sz="8" w:space="0" w:color="auto"/>
              <w:right w:val="nil"/>
            </w:tcBorders>
            <w:shd w:val="clear" w:color="auto" w:fill="auto"/>
            <w:noWrap/>
            <w:vAlign w:val="bottom"/>
            <w:hideMark/>
          </w:tcPr>
          <w:p w:rsidR="008602D6" w:rsidRPr="00445E04" w:rsidRDefault="008602D6" w:rsidP="00886149">
            <w:pPr>
              <w:spacing w:after="0" w:line="240" w:lineRule="auto"/>
              <w:rPr>
                <w:rFonts w:ascii="Times New Roman" w:eastAsia="Times New Roman" w:hAnsi="Times New Roman" w:cs="Times New Roman"/>
                <w:color w:val="000000"/>
                <w:sz w:val="24"/>
                <w:szCs w:val="24"/>
              </w:rPr>
            </w:pPr>
            <w:r w:rsidRPr="00445E04">
              <w:rPr>
                <w:rFonts w:ascii="Times New Roman" w:eastAsia="Times New Roman" w:hAnsi="Times New Roman" w:cs="Times New Roman"/>
                <w:color w:val="000000"/>
                <w:sz w:val="24"/>
                <w:szCs w:val="24"/>
              </w:rPr>
              <w:t> </w:t>
            </w:r>
          </w:p>
        </w:tc>
      </w:tr>
    </w:tbl>
    <w:p w:rsidR="008602D6" w:rsidRPr="00445E04" w:rsidRDefault="008602D6" w:rsidP="008602D6">
      <w:pPr>
        <w:pStyle w:val="Title2"/>
        <w:spacing w:before="100" w:beforeAutospacing="1" w:after="100" w:afterAutospacing="1"/>
        <w:contextualSpacing/>
        <w:jc w:val="left"/>
        <w:rPr>
          <w:rFonts w:ascii="Times New Roman" w:hAnsi="Times New Roman" w:cs="Times New Roman"/>
          <w:color w:val="000000" w:themeColor="text1"/>
        </w:rPr>
      </w:pPr>
    </w:p>
    <w:p w:rsidR="006D0203" w:rsidRPr="00445E04" w:rsidRDefault="006D0203" w:rsidP="00626A3A">
      <w:pPr>
        <w:tabs>
          <w:tab w:val="left" w:pos="2670"/>
        </w:tabs>
        <w:spacing w:line="480" w:lineRule="auto"/>
        <w:rPr>
          <w:rFonts w:ascii="Times New Roman" w:hAnsi="Times New Roman" w:cs="Times New Roman"/>
          <w:color w:val="222222"/>
          <w:sz w:val="24"/>
          <w:szCs w:val="24"/>
          <w:shd w:val="clear" w:color="auto" w:fill="FFFFFF"/>
        </w:rPr>
      </w:pPr>
      <w:bookmarkStart w:id="0" w:name="_GoBack"/>
      <w:bookmarkEnd w:id="0"/>
    </w:p>
    <w:sectPr w:rsidR="006D0203" w:rsidRPr="00445E04" w:rsidSect="00626A3A">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26B" w:rsidRDefault="00E3126B" w:rsidP="00626A3A">
      <w:pPr>
        <w:spacing w:after="0" w:line="240" w:lineRule="auto"/>
      </w:pPr>
      <w:r>
        <w:separator/>
      </w:r>
    </w:p>
  </w:endnote>
  <w:endnote w:type="continuationSeparator" w:id="1">
    <w:p w:rsidR="00E3126B" w:rsidRDefault="00E3126B" w:rsidP="00626A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26B" w:rsidRDefault="00E3126B" w:rsidP="00626A3A">
      <w:pPr>
        <w:spacing w:after="0" w:line="240" w:lineRule="auto"/>
      </w:pPr>
      <w:r>
        <w:separator/>
      </w:r>
    </w:p>
  </w:footnote>
  <w:footnote w:type="continuationSeparator" w:id="1">
    <w:p w:rsidR="00E3126B" w:rsidRDefault="00E3126B" w:rsidP="00626A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3A" w:rsidRPr="00626A3A" w:rsidRDefault="00626A3A" w:rsidP="00626A3A">
    <w:pPr>
      <w:spacing w:line="240" w:lineRule="auto"/>
      <w:rPr>
        <w:rFonts w:ascii="Times New Roman" w:hAnsi="Times New Roman" w:cs="Times New Roman"/>
        <w:sz w:val="24"/>
        <w:szCs w:val="24"/>
      </w:rPr>
    </w:pPr>
    <w:r w:rsidRPr="00626A3A">
      <w:rPr>
        <w:rFonts w:ascii="Times New Roman" w:hAnsi="Times New Roman" w:cs="Times New Roman"/>
        <w:sz w:val="24"/>
        <w:szCs w:val="24"/>
      </w:rPr>
      <w:t>FINANCIAL PERFORMANCE AND HEALTH FOR GOOGLE INC.</w:t>
    </w:r>
    <w:r w:rsidRPr="00626A3A">
      <w:rPr>
        <w:rFonts w:ascii="Times New Roman" w:hAnsi="Times New Roman" w:cs="Times New Roman"/>
        <w:sz w:val="24"/>
        <w:szCs w:val="24"/>
      </w:rPr>
      <w:tab/>
    </w:r>
    <w:r w:rsidRPr="00626A3A">
      <w:rPr>
        <w:rFonts w:ascii="Times New Roman" w:hAnsi="Times New Roman" w:cs="Times New Roman"/>
        <w:sz w:val="24"/>
        <w:szCs w:val="24"/>
      </w:rPr>
      <w:tab/>
    </w:r>
    <w:sdt>
      <w:sdtPr>
        <w:rPr>
          <w:rFonts w:ascii="Times New Roman" w:hAnsi="Times New Roman" w:cs="Times New Roman"/>
          <w:sz w:val="24"/>
          <w:szCs w:val="24"/>
        </w:rPr>
        <w:id w:val="-1132320262"/>
        <w:docPartObj>
          <w:docPartGallery w:val="Page Numbers (Top of Page)"/>
          <w:docPartUnique/>
        </w:docPartObj>
      </w:sdtPr>
      <w:sdtEndPr>
        <w:rPr>
          <w:noProof/>
        </w:rPr>
      </w:sdtEndPr>
      <w:sdtContent>
        <w:r w:rsidR="00E345B3">
          <w:rPr>
            <w:rFonts w:ascii="Times New Roman" w:hAnsi="Times New Roman" w:cs="Times New Roman"/>
            <w:sz w:val="24"/>
            <w:szCs w:val="24"/>
          </w:rPr>
          <w:t xml:space="preserve">                   </w:t>
        </w:r>
        <w:r w:rsidR="00A53455" w:rsidRPr="00626A3A">
          <w:rPr>
            <w:rFonts w:ascii="Times New Roman" w:hAnsi="Times New Roman" w:cs="Times New Roman"/>
            <w:sz w:val="24"/>
            <w:szCs w:val="24"/>
          </w:rPr>
          <w:fldChar w:fldCharType="begin"/>
        </w:r>
        <w:r w:rsidRPr="00626A3A">
          <w:rPr>
            <w:rFonts w:ascii="Times New Roman" w:hAnsi="Times New Roman" w:cs="Times New Roman"/>
            <w:sz w:val="24"/>
            <w:szCs w:val="24"/>
          </w:rPr>
          <w:instrText xml:space="preserve"> PAGE   \* MERGEFORMAT </w:instrText>
        </w:r>
        <w:r w:rsidR="00A53455" w:rsidRPr="00626A3A">
          <w:rPr>
            <w:rFonts w:ascii="Times New Roman" w:hAnsi="Times New Roman" w:cs="Times New Roman"/>
            <w:sz w:val="24"/>
            <w:szCs w:val="24"/>
          </w:rPr>
          <w:fldChar w:fldCharType="separate"/>
        </w:r>
        <w:r w:rsidR="000E71FE">
          <w:rPr>
            <w:rFonts w:ascii="Times New Roman" w:hAnsi="Times New Roman" w:cs="Times New Roman"/>
            <w:noProof/>
            <w:sz w:val="24"/>
            <w:szCs w:val="24"/>
          </w:rPr>
          <w:t>18</w:t>
        </w:r>
        <w:r w:rsidR="00A53455" w:rsidRPr="00626A3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A3A" w:rsidRPr="00626A3A" w:rsidRDefault="00626A3A" w:rsidP="00626A3A">
    <w:pPr>
      <w:spacing w:line="240" w:lineRule="auto"/>
      <w:rPr>
        <w:rFonts w:ascii="Times New Roman" w:hAnsi="Times New Roman" w:cs="Times New Roman"/>
        <w:sz w:val="24"/>
        <w:szCs w:val="24"/>
      </w:rPr>
    </w:pPr>
    <w:r w:rsidRPr="00626A3A">
      <w:rPr>
        <w:rFonts w:ascii="Times New Roman" w:hAnsi="Times New Roman" w:cs="Times New Roman"/>
        <w:sz w:val="24"/>
        <w:szCs w:val="24"/>
      </w:rPr>
      <w:t>Running head: FINANCIAL PERFORMANCE AND HEALTH FOR GOOGLE INC.</w:t>
    </w:r>
    <w:r w:rsidRPr="00626A3A">
      <w:rPr>
        <w:rFonts w:ascii="Times New Roman" w:hAnsi="Times New Roman" w:cs="Times New Roman"/>
        <w:sz w:val="24"/>
        <w:szCs w:val="24"/>
      </w:rPr>
      <w:tab/>
    </w:r>
    <w:sdt>
      <w:sdtPr>
        <w:rPr>
          <w:rFonts w:ascii="Times New Roman" w:hAnsi="Times New Roman" w:cs="Times New Roman"/>
          <w:sz w:val="24"/>
          <w:szCs w:val="24"/>
        </w:rPr>
        <w:id w:val="-1193840274"/>
        <w:docPartObj>
          <w:docPartGallery w:val="Page Numbers (Top of Page)"/>
          <w:docPartUnique/>
        </w:docPartObj>
      </w:sdtPr>
      <w:sdtEndPr>
        <w:rPr>
          <w:noProof/>
        </w:rPr>
      </w:sdtEndPr>
      <w:sdtContent>
        <w:r w:rsidR="00A53455" w:rsidRPr="00626A3A">
          <w:rPr>
            <w:rFonts w:ascii="Times New Roman" w:hAnsi="Times New Roman" w:cs="Times New Roman"/>
            <w:sz w:val="24"/>
            <w:szCs w:val="24"/>
          </w:rPr>
          <w:fldChar w:fldCharType="begin"/>
        </w:r>
        <w:r w:rsidRPr="00626A3A">
          <w:rPr>
            <w:rFonts w:ascii="Times New Roman" w:hAnsi="Times New Roman" w:cs="Times New Roman"/>
            <w:sz w:val="24"/>
            <w:szCs w:val="24"/>
          </w:rPr>
          <w:instrText xml:space="preserve"> PAGE   \* MERGEFORMAT </w:instrText>
        </w:r>
        <w:r w:rsidR="00A53455" w:rsidRPr="00626A3A">
          <w:rPr>
            <w:rFonts w:ascii="Times New Roman" w:hAnsi="Times New Roman" w:cs="Times New Roman"/>
            <w:sz w:val="24"/>
            <w:szCs w:val="24"/>
          </w:rPr>
          <w:fldChar w:fldCharType="separate"/>
        </w:r>
        <w:r w:rsidR="000E71FE">
          <w:rPr>
            <w:rFonts w:ascii="Times New Roman" w:hAnsi="Times New Roman" w:cs="Times New Roman"/>
            <w:noProof/>
            <w:sz w:val="24"/>
            <w:szCs w:val="24"/>
          </w:rPr>
          <w:t>1</w:t>
        </w:r>
        <w:r w:rsidR="00A53455" w:rsidRPr="00626A3A">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D319A5"/>
    <w:multiLevelType w:val="hybridMultilevel"/>
    <w:tmpl w:val="97D42B6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4331"/>
    <w:rsid w:val="0001142B"/>
    <w:rsid w:val="0003590B"/>
    <w:rsid w:val="000642BE"/>
    <w:rsid w:val="000E71FE"/>
    <w:rsid w:val="001114F7"/>
    <w:rsid w:val="001221E8"/>
    <w:rsid w:val="0012351E"/>
    <w:rsid w:val="001340EB"/>
    <w:rsid w:val="001404BC"/>
    <w:rsid w:val="001425C4"/>
    <w:rsid w:val="0017223D"/>
    <w:rsid w:val="0020545B"/>
    <w:rsid w:val="0027360A"/>
    <w:rsid w:val="00285A1D"/>
    <w:rsid w:val="002C148E"/>
    <w:rsid w:val="002E0AA6"/>
    <w:rsid w:val="00324331"/>
    <w:rsid w:val="00353B5D"/>
    <w:rsid w:val="003652F4"/>
    <w:rsid w:val="00367606"/>
    <w:rsid w:val="00391679"/>
    <w:rsid w:val="003C5F4D"/>
    <w:rsid w:val="00445E04"/>
    <w:rsid w:val="004905AA"/>
    <w:rsid w:val="00497AC7"/>
    <w:rsid w:val="004B32D6"/>
    <w:rsid w:val="00542BF9"/>
    <w:rsid w:val="00554654"/>
    <w:rsid w:val="00570481"/>
    <w:rsid w:val="005A5F0B"/>
    <w:rsid w:val="005C2525"/>
    <w:rsid w:val="005D3977"/>
    <w:rsid w:val="00601E07"/>
    <w:rsid w:val="00622063"/>
    <w:rsid w:val="00626A3A"/>
    <w:rsid w:val="00627D2F"/>
    <w:rsid w:val="0066113C"/>
    <w:rsid w:val="006A513D"/>
    <w:rsid w:val="006D0203"/>
    <w:rsid w:val="006D7825"/>
    <w:rsid w:val="00723F57"/>
    <w:rsid w:val="008602D6"/>
    <w:rsid w:val="008E0EA5"/>
    <w:rsid w:val="0091085F"/>
    <w:rsid w:val="00991EBB"/>
    <w:rsid w:val="009D588D"/>
    <w:rsid w:val="00A04F87"/>
    <w:rsid w:val="00A53455"/>
    <w:rsid w:val="00A541E7"/>
    <w:rsid w:val="00AF7315"/>
    <w:rsid w:val="00B36B49"/>
    <w:rsid w:val="00B41448"/>
    <w:rsid w:val="00B53A53"/>
    <w:rsid w:val="00B75C26"/>
    <w:rsid w:val="00BB79D3"/>
    <w:rsid w:val="00C005E5"/>
    <w:rsid w:val="00C47B3F"/>
    <w:rsid w:val="00CB67DF"/>
    <w:rsid w:val="00CC598A"/>
    <w:rsid w:val="00D413B1"/>
    <w:rsid w:val="00D54497"/>
    <w:rsid w:val="00D8366B"/>
    <w:rsid w:val="00E02B45"/>
    <w:rsid w:val="00E3126B"/>
    <w:rsid w:val="00E345B3"/>
    <w:rsid w:val="00E37A59"/>
    <w:rsid w:val="00E83B9E"/>
    <w:rsid w:val="00E91CA5"/>
    <w:rsid w:val="00EA5C30"/>
    <w:rsid w:val="00F9633D"/>
    <w:rsid w:val="00FD2136"/>
    <w:rsid w:val="00FD3A8E"/>
    <w:rsid w:val="00FF3B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E02B45"/>
    <w:pPr>
      <w:spacing w:after="0" w:line="480" w:lineRule="auto"/>
      <w:jc w:val="center"/>
    </w:pPr>
    <w:rPr>
      <w:rFonts w:eastAsiaTheme="minorEastAsia"/>
      <w:kern w:val="24"/>
      <w:sz w:val="24"/>
      <w:szCs w:val="24"/>
      <w:lang w:eastAsia="ja-JP"/>
    </w:rPr>
  </w:style>
  <w:style w:type="paragraph" w:styleId="Header">
    <w:name w:val="header"/>
    <w:basedOn w:val="Normal"/>
    <w:link w:val="HeaderChar"/>
    <w:uiPriority w:val="99"/>
    <w:unhideWhenUsed/>
    <w:rsid w:val="00626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A3A"/>
  </w:style>
  <w:style w:type="paragraph" w:styleId="Footer">
    <w:name w:val="footer"/>
    <w:basedOn w:val="Normal"/>
    <w:link w:val="FooterChar"/>
    <w:uiPriority w:val="99"/>
    <w:unhideWhenUsed/>
    <w:rsid w:val="00626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A3A"/>
  </w:style>
  <w:style w:type="paragraph" w:styleId="ListParagraph">
    <w:name w:val="List Paragraph"/>
    <w:basedOn w:val="Normal"/>
    <w:uiPriority w:val="34"/>
    <w:qFormat/>
    <w:rsid w:val="006D7825"/>
    <w:pPr>
      <w:ind w:left="720"/>
      <w:contextualSpacing/>
    </w:pPr>
  </w:style>
  <w:style w:type="character" w:styleId="Hyperlink">
    <w:name w:val="Hyperlink"/>
    <w:basedOn w:val="DefaultParagraphFont"/>
    <w:uiPriority w:val="99"/>
    <w:unhideWhenUsed/>
    <w:rsid w:val="00FD3A8E"/>
    <w:rPr>
      <w:color w:val="0563C1" w:themeColor="hyperlink"/>
      <w:u w:val="single"/>
    </w:rPr>
  </w:style>
  <w:style w:type="paragraph" w:styleId="BalloonText">
    <w:name w:val="Balloon Text"/>
    <w:basedOn w:val="Normal"/>
    <w:link w:val="BalloonTextChar"/>
    <w:uiPriority w:val="99"/>
    <w:semiHidden/>
    <w:unhideWhenUsed/>
    <w:rsid w:val="003676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6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chart" Target="charts/chart1.xml"/><Relationship Id="rId12" Type="http://schemas.openxmlformats.org/officeDocument/2006/relationships/image" Target="media/image3.png"/><Relationship Id="rId17" Type="http://schemas.openxmlformats.org/officeDocument/2006/relationships/chart" Target="charts/chart6.xml"/><Relationship Id="rId2" Type="http://schemas.openxmlformats.org/officeDocument/2006/relationships/styles" Target="styles.xml"/><Relationship Id="rId16" Type="http://schemas.openxmlformats.org/officeDocument/2006/relationships/chart" Target="charts/chart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stock-analysis-on.net/NASDAQ/" TargetMode="Externa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Vinnst\Desktop\financial%20analysi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innst\Desktop\financial%20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Vinnst\Desktop\financial%20analysi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Vinnst\Desktop\googl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Vinnst\Desktop\financial%20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Vinnst\Desktop\financial%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plotArea>
      <c:layout>
        <c:manualLayout>
          <c:layoutTarget val="inner"/>
          <c:xMode val="edge"/>
          <c:yMode val="edge"/>
          <c:x val="0.27139610673665798"/>
          <c:y val="0.33578703703703727"/>
          <c:w val="0.39609689413823301"/>
          <c:h val="0.6601614902303885"/>
        </c:manualLayout>
      </c:layout>
      <c:pieChart>
        <c:varyColors val="1"/>
        <c:ser>
          <c:idx val="0"/>
          <c:order val="0"/>
          <c:tx>
            <c:strRef>
              <c:f>'[financial analysis.xlsx]profitability ratios'!$B$30</c:f>
              <c:strCache>
                <c:ptCount val="1"/>
                <c:pt idx="0">
                  <c:v>net revenue</c:v>
                </c:pt>
              </c:strCache>
            </c:strRef>
          </c:tx>
          <c:dP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cat>
            <c:numRef>
              <c:f>'[financial analysis.xlsx]profitability ratios'!$C$29:$H$29</c:f>
              <c:numCache>
                <c:formatCode>General</c:formatCode>
                <c:ptCount val="6"/>
                <c:pt idx="3">
                  <c:v>2018</c:v>
                </c:pt>
                <c:pt idx="4">
                  <c:v>2017</c:v>
                </c:pt>
                <c:pt idx="5">
                  <c:v>2016</c:v>
                </c:pt>
              </c:numCache>
            </c:numRef>
          </c:cat>
          <c:val>
            <c:numRef>
              <c:f>'[financial analysis.xlsx]profitability ratios'!$C$30:$H$30</c:f>
              <c:numCache>
                <c:formatCode>General</c:formatCode>
                <c:ptCount val="6"/>
                <c:pt idx="3" formatCode="0">
                  <c:v>136819</c:v>
                </c:pt>
                <c:pt idx="4" formatCode="0">
                  <c:v>110855</c:v>
                </c:pt>
                <c:pt idx="5" formatCode="0">
                  <c:v>90272</c:v>
                </c:pt>
              </c:numCache>
            </c:numRef>
          </c:val>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zero"/>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Net income ($000)</a:t>
            </a:r>
          </a:p>
        </c:rich>
      </c:tx>
      <c:spPr>
        <a:noFill/>
        <a:ln>
          <a:noFill/>
        </a:ln>
        <a:effectLst/>
      </c:spPr>
    </c:title>
    <c:plotArea>
      <c:layout/>
      <c:barChart>
        <c:barDir val="col"/>
        <c:grouping val="clustered"/>
        <c:ser>
          <c:idx val="0"/>
          <c:order val="0"/>
          <c:tx>
            <c:strRef>
              <c:f>'[financial analysis.xlsx]profitability ratios'!$B$69</c:f>
              <c:strCache>
                <c:ptCount val="1"/>
                <c:pt idx="0">
                  <c:v>Net income</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'[financial analysis.xlsx]profitability ratios'!$C$68:$E$68</c:f>
              <c:numCache>
                <c:formatCode>General</c:formatCode>
                <c:ptCount val="3"/>
                <c:pt idx="0">
                  <c:v>2018</c:v>
                </c:pt>
                <c:pt idx="1">
                  <c:v>2017</c:v>
                </c:pt>
                <c:pt idx="2">
                  <c:v>2016</c:v>
                </c:pt>
              </c:numCache>
            </c:numRef>
          </c:cat>
          <c:val>
            <c:numRef>
              <c:f>'[financial analysis.xlsx]profitability ratios'!$C$69:$E$69</c:f>
              <c:numCache>
                <c:formatCode>0</c:formatCode>
                <c:ptCount val="3"/>
                <c:pt idx="0">
                  <c:v>30376</c:v>
                </c:pt>
                <c:pt idx="1">
                  <c:v>12662</c:v>
                </c:pt>
                <c:pt idx="2">
                  <c:v>19478</c:v>
                </c:pt>
              </c:numCache>
            </c:numRef>
          </c:val>
        </c:ser>
        <c:dLbls>
          <c:showVal val="1"/>
        </c:dLbls>
        <c:gapWidth val="219"/>
        <c:overlap val="-27"/>
        <c:axId val="88104320"/>
        <c:axId val="89291776"/>
      </c:barChart>
      <c:catAx>
        <c:axId val="8810432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291776"/>
        <c:crosses val="autoZero"/>
        <c:auto val="1"/>
        <c:lblAlgn val="ctr"/>
        <c:lblOffset val="100"/>
      </c:catAx>
      <c:valAx>
        <c:axId val="8929177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104320"/>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plotArea>
      <c:layout/>
      <c:barChart>
        <c:barDir val="col"/>
        <c:grouping val="clustered"/>
        <c:ser>
          <c:idx val="0"/>
          <c:order val="0"/>
          <c:tx>
            <c:strRef>
              <c:f>'[financial analysis.xlsx]profitability ratios'!$C$88</c:f>
              <c:strCache>
                <c:ptCount val="1"/>
                <c:pt idx="0">
                  <c:v>2018</c:v>
                </c:pt>
              </c:strCache>
            </c:strRef>
          </c:tx>
          <c:spPr>
            <a:solidFill>
              <a:schemeClr val="accent1">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'[financial analysis.xlsx]profitability ratios'!$B$89:$B$91</c:f>
              <c:strCache>
                <c:ptCount val="3"/>
                <c:pt idx="0">
                  <c:v>EBIT</c:v>
                </c:pt>
                <c:pt idx="1">
                  <c:v>Interest</c:v>
                </c:pt>
                <c:pt idx="2">
                  <c:v>Tax</c:v>
                </c:pt>
              </c:strCache>
            </c:strRef>
          </c:cat>
          <c:val>
            <c:numRef>
              <c:f>'[financial analysis.xlsx]profitability ratios'!$C$89:$C$91</c:f>
              <c:numCache>
                <c:formatCode>General</c:formatCode>
                <c:ptCount val="3"/>
                <c:pt idx="0" formatCode="#,##0">
                  <c:v>31392</c:v>
                </c:pt>
                <c:pt idx="1">
                  <c:v>114</c:v>
                </c:pt>
                <c:pt idx="2" formatCode="#,##0">
                  <c:v>34913</c:v>
                </c:pt>
              </c:numCache>
            </c:numRef>
          </c:val>
        </c:ser>
        <c:ser>
          <c:idx val="1"/>
          <c:order val="1"/>
          <c:tx>
            <c:strRef>
              <c:f>'[financial analysis.xlsx]profitability ratios'!$D$88</c:f>
              <c:strCache>
                <c:ptCount val="1"/>
                <c:pt idx="0">
                  <c:v>2017</c:v>
                </c:pt>
              </c:strCache>
            </c:strRef>
          </c:tx>
          <c:spPr>
            <a:solidFill>
              <a:schemeClr val="accent2">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'[financial analysis.xlsx]profitability ratios'!$B$89:$B$91</c:f>
              <c:strCache>
                <c:ptCount val="3"/>
                <c:pt idx="0">
                  <c:v>EBIT</c:v>
                </c:pt>
                <c:pt idx="1">
                  <c:v>Interest</c:v>
                </c:pt>
                <c:pt idx="2">
                  <c:v>Tax</c:v>
                </c:pt>
              </c:strCache>
            </c:strRef>
          </c:cat>
          <c:val>
            <c:numRef>
              <c:f>'[financial analysis.xlsx]profitability ratios'!$D$89:$D$91</c:f>
              <c:numCache>
                <c:formatCode>General</c:formatCode>
                <c:ptCount val="3"/>
                <c:pt idx="0" formatCode="#,##0">
                  <c:v>28882</c:v>
                </c:pt>
                <c:pt idx="1">
                  <c:v>109</c:v>
                </c:pt>
                <c:pt idx="2" formatCode="#,##0">
                  <c:v>27193</c:v>
                </c:pt>
              </c:numCache>
            </c:numRef>
          </c:val>
        </c:ser>
        <c:ser>
          <c:idx val="2"/>
          <c:order val="2"/>
          <c:tx>
            <c:strRef>
              <c:f>'[financial analysis.xlsx]profitability ratios'!$E$88</c:f>
              <c:strCache>
                <c:ptCount val="1"/>
                <c:pt idx="0">
                  <c:v>2016</c:v>
                </c:pt>
              </c:strCache>
            </c:strRef>
          </c:tx>
          <c:spPr>
            <a:solidFill>
              <a:schemeClr val="accent3">
                <a:alpha val="85000"/>
              </a:schemeClr>
            </a:solidFill>
            <a:ln w="9525" cap="flat" cmpd="sng" algn="ctr">
              <a:solidFill>
                <a:schemeClr val="lt1">
                  <a:alpha val="50000"/>
                </a:schemeClr>
              </a:solidFill>
              <a:round/>
            </a:ln>
            <a:effectLst/>
          </c:spP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'[financial analysis.xlsx]profitability ratios'!$B$89:$B$91</c:f>
              <c:strCache>
                <c:ptCount val="3"/>
                <c:pt idx="0">
                  <c:v>EBIT</c:v>
                </c:pt>
                <c:pt idx="1">
                  <c:v>Interest</c:v>
                </c:pt>
                <c:pt idx="2">
                  <c:v>Tax</c:v>
                </c:pt>
              </c:strCache>
            </c:strRef>
          </c:cat>
          <c:val>
            <c:numRef>
              <c:f>'[financial analysis.xlsx]profitability ratios'!$E$89:$E$91</c:f>
              <c:numCache>
                <c:formatCode>General</c:formatCode>
                <c:ptCount val="3"/>
                <c:pt idx="0" formatCode="#,##0">
                  <c:v>3716</c:v>
                </c:pt>
                <c:pt idx="1">
                  <c:v>124</c:v>
                </c:pt>
                <c:pt idx="2" formatCode="#,##0">
                  <c:v>24150</c:v>
                </c:pt>
              </c:numCache>
            </c:numRef>
          </c:val>
        </c:ser>
        <c:dLbls>
          <c:showVal val="1"/>
        </c:dLbls>
        <c:gapWidth val="65"/>
        <c:axId val="98775040"/>
        <c:axId val="101036032"/>
      </c:barChart>
      <c:catAx>
        <c:axId val="98775040"/>
        <c:scaling>
          <c:orientation val="minMax"/>
        </c:scaling>
        <c:axPos val="b"/>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01036032"/>
        <c:crosses val="autoZero"/>
        <c:auto val="1"/>
        <c:lblAlgn val="ctr"/>
        <c:lblOffset val="100"/>
      </c:catAx>
      <c:valAx>
        <c:axId val="10103603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tickLblPos val="nextTo"/>
        <c:crossAx val="98775040"/>
        <c:crosses val="autoZero"/>
        <c:crossBetween val="between"/>
      </c:valAx>
      <c:spPr>
        <a:noFill/>
        <a:ln>
          <a:noFill/>
        </a:ln>
        <a:effectLst/>
      </c:spPr>
    </c:plotArea>
    <c:legend>
      <c:legendPos val="b"/>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barChart>
        <c:barDir val="col"/>
        <c:grouping val="clustered"/>
        <c:ser>
          <c:idx val="0"/>
          <c:order val="0"/>
          <c:tx>
            <c:strRef>
              <c:f>'liquidity ratios'!$K$2</c:f>
              <c:strCache>
                <c:ptCount val="1"/>
                <c:pt idx="0">
                  <c:v>2019</c:v>
                </c:pt>
              </c:strCache>
            </c:strRef>
          </c:tx>
          <c:spPr>
            <a:solidFill>
              <a:schemeClr val="accent1"/>
            </a:solidFill>
            <a:ln>
              <a:noFill/>
            </a:ln>
            <a:effectLst/>
          </c:spPr>
          <c:cat>
            <c:strRef>
              <c:f>'liquidity ratios'!$J$3:$J$5</c:f>
              <c:strCache>
                <c:ptCount val="3"/>
                <c:pt idx="0">
                  <c:v>Quick ratio</c:v>
                </c:pt>
                <c:pt idx="1">
                  <c:v>Current ratio</c:v>
                </c:pt>
                <c:pt idx="2">
                  <c:v>Cash ratio</c:v>
                </c:pt>
              </c:strCache>
            </c:strRef>
          </c:cat>
          <c:val>
            <c:numRef>
              <c:f>'liquidity ratios'!$K$3:$K$5</c:f>
              <c:numCache>
                <c:formatCode>General</c:formatCode>
                <c:ptCount val="3"/>
                <c:pt idx="0">
                  <c:v>3.8870306181398036</c:v>
                </c:pt>
                <c:pt idx="1">
                  <c:v>3.9190063547082579</c:v>
                </c:pt>
                <c:pt idx="2">
                  <c:v>3.1525129982668978</c:v>
                </c:pt>
              </c:numCache>
            </c:numRef>
          </c:val>
        </c:ser>
        <c:ser>
          <c:idx val="1"/>
          <c:order val="1"/>
          <c:tx>
            <c:strRef>
              <c:f>'liquidity ratios'!$L$2</c:f>
              <c:strCache>
                <c:ptCount val="1"/>
                <c:pt idx="0">
                  <c:v>2018</c:v>
                </c:pt>
              </c:strCache>
            </c:strRef>
          </c:tx>
          <c:spPr>
            <a:solidFill>
              <a:schemeClr val="accent2"/>
            </a:solidFill>
            <a:ln>
              <a:noFill/>
            </a:ln>
            <a:effectLst/>
          </c:spPr>
          <c:cat>
            <c:strRef>
              <c:f>'liquidity ratios'!$J$3:$J$5</c:f>
              <c:strCache>
                <c:ptCount val="3"/>
                <c:pt idx="0">
                  <c:v>Quick ratio</c:v>
                </c:pt>
                <c:pt idx="1">
                  <c:v>Current ratio</c:v>
                </c:pt>
                <c:pt idx="2">
                  <c:v>Cash ratio</c:v>
                </c:pt>
              </c:strCache>
            </c:strRef>
          </c:cat>
          <c:val>
            <c:numRef>
              <c:f>'liquidity ratios'!$L$3:$L$5</c:f>
              <c:numCache>
                <c:formatCode>General</c:formatCode>
                <c:ptCount val="3"/>
                <c:pt idx="0">
                  <c:v>5.1093330025224333</c:v>
                </c:pt>
                <c:pt idx="1">
                  <c:v>5.1403051730554479</c:v>
                </c:pt>
                <c:pt idx="2">
                  <c:v>4.2125046520282785</c:v>
                </c:pt>
              </c:numCache>
            </c:numRef>
          </c:val>
        </c:ser>
        <c:ser>
          <c:idx val="2"/>
          <c:order val="2"/>
          <c:tx>
            <c:strRef>
              <c:f>'liquidity ratios'!$M$2</c:f>
              <c:strCache>
                <c:ptCount val="1"/>
                <c:pt idx="0">
                  <c:v>2017</c:v>
                </c:pt>
              </c:strCache>
            </c:strRef>
          </c:tx>
          <c:spPr>
            <a:solidFill>
              <a:schemeClr val="accent3"/>
            </a:solidFill>
            <a:ln>
              <a:noFill/>
            </a:ln>
            <a:effectLst/>
          </c:spPr>
          <c:cat>
            <c:strRef>
              <c:f>'liquidity ratios'!$J$3:$J$5</c:f>
              <c:strCache>
                <c:ptCount val="3"/>
                <c:pt idx="0">
                  <c:v>Quick ratio</c:v>
                </c:pt>
                <c:pt idx="1">
                  <c:v>Current ratio</c:v>
                </c:pt>
                <c:pt idx="2">
                  <c:v>Cash ratio</c:v>
                </c:pt>
              </c:strCache>
            </c:strRef>
          </c:cat>
          <c:val>
            <c:numRef>
              <c:f>'liquidity ratios'!$M$3:$M$5</c:f>
              <c:numCache>
                <c:formatCode>General</c:formatCode>
                <c:ptCount val="3"/>
                <c:pt idx="0">
                  <c:v>6.2747672475531164</c:v>
                </c:pt>
                <c:pt idx="1">
                  <c:v>6.2907615182621184</c:v>
                </c:pt>
                <c:pt idx="2">
                  <c:v>5.1523633325375986</c:v>
                </c:pt>
              </c:numCache>
            </c:numRef>
          </c:val>
        </c:ser>
        <c:gapWidth val="219"/>
        <c:overlap val="-27"/>
        <c:axId val="88711552"/>
        <c:axId val="88713088"/>
      </c:barChart>
      <c:catAx>
        <c:axId val="8871155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13088"/>
        <c:crosses val="autoZero"/>
        <c:auto val="1"/>
        <c:lblAlgn val="ctr"/>
        <c:lblOffset val="100"/>
      </c:catAx>
      <c:valAx>
        <c:axId val="887130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7115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plotArea>
      <c:layout>
        <c:manualLayout>
          <c:layoutTarget val="inner"/>
          <c:xMode val="edge"/>
          <c:yMode val="edge"/>
          <c:x val="0.27139610673665798"/>
          <c:y val="0.33578703703703727"/>
          <c:w val="0.39609689413823301"/>
          <c:h val="0.6601614902303885"/>
        </c:manualLayout>
      </c:layout>
      <c:pieChart>
        <c:varyColors val="1"/>
        <c:ser>
          <c:idx val="0"/>
          <c:order val="0"/>
          <c:tx>
            <c:strRef>
              <c:f>'[financial analysis.xlsx]profitability ratios'!$B$30</c:f>
              <c:strCache>
                <c:ptCount val="1"/>
                <c:pt idx="0">
                  <c:v>net revenue</c:v>
                </c:pt>
              </c:strCache>
            </c:strRef>
          </c:tx>
          <c:dP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dPt>
            <c:idx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dPt>
          <c:cat>
            <c:numRef>
              <c:f>'[financial analysis.xlsx]profitability ratios'!$C$29:$H$29</c:f>
              <c:numCache>
                <c:formatCode>General</c:formatCode>
                <c:ptCount val="6"/>
                <c:pt idx="3">
                  <c:v>2018</c:v>
                </c:pt>
                <c:pt idx="4">
                  <c:v>2017</c:v>
                </c:pt>
                <c:pt idx="5">
                  <c:v>2016</c:v>
                </c:pt>
              </c:numCache>
            </c:numRef>
          </c:cat>
          <c:val>
            <c:numRef>
              <c:f>'[financial analysis.xlsx]profitability ratios'!$C$30:$H$30</c:f>
              <c:numCache>
                <c:formatCode>General</c:formatCode>
                <c:ptCount val="6"/>
                <c:pt idx="3" formatCode="0">
                  <c:v>136819</c:v>
                </c:pt>
                <c:pt idx="4" formatCode="0">
                  <c:v>110855</c:v>
                </c:pt>
                <c:pt idx="5" formatCode="0">
                  <c:v>90272</c:v>
                </c:pt>
              </c:numCache>
            </c:numRef>
          </c:val>
        </c:ser>
        <c:firstSliceAng val="0"/>
      </c:pie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zero"/>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Net income ($000)</a:t>
            </a:r>
          </a:p>
        </c:rich>
      </c:tx>
      <c:spPr>
        <a:noFill/>
        <a:ln>
          <a:noFill/>
        </a:ln>
        <a:effectLst/>
      </c:spPr>
    </c:title>
    <c:plotArea>
      <c:layout/>
      <c:barChart>
        <c:barDir val="col"/>
        <c:grouping val="clustered"/>
        <c:ser>
          <c:idx val="0"/>
          <c:order val="0"/>
          <c:tx>
            <c:strRef>
              <c:f>'[financial analysis.xlsx]profitability ratios'!$B$69</c:f>
              <c:strCache>
                <c:ptCount val="1"/>
                <c:pt idx="0">
                  <c:v>Net income</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'[financial analysis.xlsx]profitability ratios'!$C$68:$E$68</c:f>
              <c:numCache>
                <c:formatCode>General</c:formatCode>
                <c:ptCount val="3"/>
                <c:pt idx="0">
                  <c:v>2018</c:v>
                </c:pt>
                <c:pt idx="1">
                  <c:v>2017</c:v>
                </c:pt>
                <c:pt idx="2">
                  <c:v>2016</c:v>
                </c:pt>
              </c:numCache>
            </c:numRef>
          </c:cat>
          <c:val>
            <c:numRef>
              <c:f>'[financial analysis.xlsx]profitability ratios'!$C$69:$E$69</c:f>
              <c:numCache>
                <c:formatCode>0</c:formatCode>
                <c:ptCount val="3"/>
                <c:pt idx="0">
                  <c:v>30376</c:v>
                </c:pt>
                <c:pt idx="1">
                  <c:v>12662</c:v>
                </c:pt>
                <c:pt idx="2">
                  <c:v>19478</c:v>
                </c:pt>
              </c:numCache>
            </c:numRef>
          </c:val>
        </c:ser>
        <c:dLbls>
          <c:showVal val="1"/>
        </c:dLbls>
        <c:gapWidth val="219"/>
        <c:overlap val="-27"/>
        <c:axId val="89295104"/>
        <c:axId val="89665536"/>
      </c:barChart>
      <c:catAx>
        <c:axId val="8929510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665536"/>
        <c:crosses val="autoZero"/>
        <c:auto val="1"/>
        <c:lblAlgn val="ctr"/>
        <c:lblOffset val="100"/>
      </c:catAx>
      <c:valAx>
        <c:axId val="89665536"/>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929510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3944</Words>
  <Characters>22487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26379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2019-07-28T12:16:00Z</dcterms:created>
  <dcterms:modified xsi:type="dcterms:W3CDTF">2019-07-28T12:16:00Z</dcterms:modified>
</cp:coreProperties>
</file>